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pBdr>
          <w:bottom w:val="single" w:color="EAEAEA" w:sz="6" w:space="0"/>
        </w:pBdr>
        <w:spacing w:before="0" w:beforeAutospacing="0" w:after="0" w:afterAutospacing="0" w:line="600" w:lineRule="atLeast"/>
        <w:jc w:val="center"/>
        <w:textAlignment w:val="top"/>
        <w:rPr>
          <w:rFonts w:hint="default" w:ascii="方正大标宋简体" w:hAnsi="方正大标宋简体" w:eastAsia="方正大标宋简体" w:cs="方正大标宋简体"/>
          <w:b w:val="0"/>
          <w:bCs/>
          <w:caps/>
          <w:color w:val="333333"/>
          <w:sz w:val="44"/>
          <w:szCs w:val="44"/>
        </w:rPr>
      </w:pPr>
      <w:r>
        <w:rPr>
          <w:rFonts w:ascii="方正大标宋简体" w:hAnsi="方正大标宋简体" w:eastAsia="方正大标宋简体" w:cs="方正大标宋简体"/>
          <w:b w:val="0"/>
          <w:bCs/>
          <w:caps/>
          <w:color w:val="333333"/>
          <w:sz w:val="44"/>
          <w:szCs w:val="44"/>
        </w:rPr>
        <w:t>四川经准检验检测集团股份有限公司测绘分公司采购1辆</w:t>
      </w:r>
      <w:r>
        <w:rPr>
          <w:rFonts w:hint="eastAsia" w:ascii="方正大标宋简体" w:hAnsi="方正大标宋简体" w:eastAsia="方正大标宋简体" w:cs="方正大标宋简体"/>
          <w:b w:val="0"/>
          <w:bCs/>
          <w:caps/>
          <w:color w:val="333333"/>
          <w:sz w:val="44"/>
          <w:szCs w:val="44"/>
          <w:lang w:val="en-US" w:eastAsia="zh-CN"/>
        </w:rPr>
        <w:t>长城哈弗H6</w:t>
      </w:r>
      <w:r>
        <w:rPr>
          <w:rFonts w:ascii="方正大标宋简体" w:hAnsi="方正大标宋简体" w:eastAsia="方正大标宋简体" w:cs="方正大标宋简体"/>
          <w:b w:val="0"/>
          <w:bCs/>
          <w:caps/>
          <w:color w:val="333333"/>
          <w:sz w:val="44"/>
          <w:szCs w:val="44"/>
        </w:rPr>
        <w:t>工程用车公告</w:t>
      </w:r>
    </w:p>
    <w:p>
      <w:pPr>
        <w:adjustRightInd w:val="0"/>
        <w:snapToGrid w:val="0"/>
        <w:spacing w:line="360" w:lineRule="auto"/>
        <w:ind w:firstLine="640" w:firstLineChars="200"/>
        <w:jc w:val="left"/>
        <w:rPr>
          <w:rFonts w:ascii="仿宋_GB2312" w:eastAsia="仿宋_GB2312"/>
          <w:color w:val="000000"/>
          <w:sz w:val="32"/>
          <w:szCs w:val="32"/>
        </w:rPr>
      </w:pP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根据相关法律法规的规定，四川经准检验检测集团股份有限公司测绘分公司委托西南联合产权交易所广安分所公开征集经营用车供应商。采购方承诺所提供的文件和材料内容合法、真实、准确、完整。现将有关事宜公告如下：</w:t>
      </w:r>
    </w:p>
    <w:p>
      <w:pPr>
        <w:pStyle w:val="2"/>
        <w:numPr>
          <w:ilvl w:val="0"/>
          <w:numId w:val="1"/>
        </w:numPr>
        <w:spacing w:line="58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采购项目基本情况</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（一）采购方名称：四川经准检验检测集团股份有限公司测绘分公司。</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（二）采购项目名称：四川经准检验检测集团股份有限公司测绘分公司采购1辆</w:t>
      </w:r>
      <w:r>
        <w:rPr>
          <w:rFonts w:hint="eastAsia" w:ascii="方正仿宋简体" w:hAnsi="方正仿宋简体" w:eastAsia="方正仿宋简体" w:cs="方正仿宋简体"/>
          <w:color w:val="000000"/>
          <w:sz w:val="32"/>
          <w:szCs w:val="32"/>
          <w:lang w:val="en-US" w:eastAsia="zh-CN"/>
        </w:rPr>
        <w:t>长城哈弗H6</w:t>
      </w:r>
      <w:r>
        <w:rPr>
          <w:rFonts w:hint="eastAsia" w:ascii="方正仿宋简体" w:hAnsi="方正仿宋简体" w:eastAsia="方正仿宋简体" w:cs="方正仿宋简体"/>
          <w:color w:val="000000"/>
          <w:sz w:val="32"/>
          <w:szCs w:val="32"/>
        </w:rPr>
        <w:t>工程用车。</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三）采购项目介绍：采购方为四川经准检验检测集团股份有限公司测绘分公司。按照四川经准检验检测集团股份有限公司测绘分公司部署要求，为进一步提高工作效率，缓解用车紧张的矛盾，更好地推进各项业务的有序开展。现需购置工程用车1辆。</w:t>
      </w:r>
    </w:p>
    <w:p>
      <w:pPr>
        <w:pStyle w:val="2"/>
        <w:spacing w:line="580" w:lineRule="exact"/>
        <w:ind w:left="420" w:leftChars="200" w:firstLine="321" w:firstLineChars="100"/>
        <w:rPr>
          <w:rFonts w:ascii="楷体" w:hAnsi="楷体" w:eastAsia="楷体" w:cs="楷体"/>
          <w:b/>
          <w:bCs/>
          <w:color w:val="000000"/>
          <w:sz w:val="32"/>
          <w:szCs w:val="32"/>
        </w:rPr>
      </w:pPr>
      <w:r>
        <w:rPr>
          <w:rFonts w:hint="eastAsia" w:ascii="楷体" w:hAnsi="楷体" w:eastAsia="楷体" w:cs="楷体"/>
          <w:b/>
          <w:bCs/>
          <w:color w:val="000000"/>
          <w:sz w:val="32"/>
          <w:szCs w:val="32"/>
        </w:rPr>
        <w:t>二、采购要求</w:t>
      </w:r>
    </w:p>
    <w:p>
      <w:pPr>
        <w:pStyle w:val="2"/>
        <w:spacing w:line="580" w:lineRule="exact"/>
        <w:ind w:left="420" w:leftChars="200"/>
        <w:rPr>
          <w:rFonts w:ascii="楷体" w:hAnsi="楷体" w:eastAsia="楷体" w:cs="楷体"/>
          <w:b/>
          <w:bCs/>
          <w:color w:val="000000"/>
          <w:sz w:val="32"/>
          <w:szCs w:val="32"/>
        </w:rPr>
      </w:pPr>
      <w:r>
        <w:rPr>
          <w:rFonts w:hint="eastAsia" w:ascii="方正仿宋简体" w:hAnsi="方正仿宋简体" w:eastAsia="方正仿宋简体" w:cs="方正仿宋简体"/>
          <w:color w:val="000000"/>
          <w:sz w:val="32"/>
          <w:szCs w:val="32"/>
        </w:rPr>
        <w:t>（一）采购内容</w:t>
      </w:r>
    </w:p>
    <w:tbl>
      <w:tblPr>
        <w:tblStyle w:val="11"/>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5387"/>
        <w:gridCol w:w="709"/>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tcPr>
          <w:p>
            <w:pPr>
              <w:pStyle w:val="2"/>
              <w:spacing w:line="580" w:lineRule="exact"/>
              <w:jc w:val="center"/>
              <w:rPr>
                <w:rFonts w:cs="楷体" w:asciiTheme="minorEastAsia" w:hAnsiTheme="minorEastAsia" w:eastAsiaTheme="minorEastAsia"/>
                <w:bCs/>
                <w:color w:val="000000"/>
                <w:sz w:val="21"/>
                <w:szCs w:val="21"/>
              </w:rPr>
            </w:pPr>
            <w:r>
              <w:rPr>
                <w:rFonts w:hint="eastAsia" w:cs="楷体" w:asciiTheme="minorEastAsia" w:hAnsiTheme="minorEastAsia" w:eastAsiaTheme="minorEastAsia"/>
                <w:bCs/>
                <w:color w:val="000000"/>
                <w:sz w:val="21"/>
                <w:szCs w:val="21"/>
              </w:rPr>
              <w:t>序号</w:t>
            </w:r>
          </w:p>
        </w:tc>
        <w:tc>
          <w:tcPr>
            <w:tcW w:w="5387" w:type="dxa"/>
          </w:tcPr>
          <w:p>
            <w:pPr>
              <w:pStyle w:val="2"/>
              <w:spacing w:line="580" w:lineRule="exact"/>
              <w:jc w:val="center"/>
              <w:rPr>
                <w:rFonts w:cs="楷体" w:asciiTheme="minorEastAsia" w:hAnsiTheme="minorEastAsia" w:eastAsiaTheme="minorEastAsia"/>
                <w:bCs/>
                <w:color w:val="000000"/>
                <w:sz w:val="21"/>
                <w:szCs w:val="21"/>
              </w:rPr>
            </w:pPr>
            <w:r>
              <w:rPr>
                <w:rFonts w:hint="eastAsia" w:cs="楷体" w:asciiTheme="minorEastAsia" w:hAnsiTheme="minorEastAsia" w:eastAsiaTheme="minorEastAsia"/>
                <w:bCs/>
                <w:color w:val="000000"/>
                <w:sz w:val="21"/>
                <w:szCs w:val="21"/>
              </w:rPr>
              <w:t>车辆品牌及型号</w:t>
            </w:r>
          </w:p>
        </w:tc>
        <w:tc>
          <w:tcPr>
            <w:tcW w:w="709" w:type="dxa"/>
          </w:tcPr>
          <w:p>
            <w:pPr>
              <w:pStyle w:val="2"/>
              <w:spacing w:line="580" w:lineRule="exact"/>
              <w:rPr>
                <w:rFonts w:cs="楷体" w:asciiTheme="minorEastAsia" w:hAnsiTheme="minorEastAsia" w:eastAsiaTheme="minorEastAsia"/>
                <w:bCs/>
                <w:color w:val="000000"/>
                <w:sz w:val="21"/>
                <w:szCs w:val="21"/>
              </w:rPr>
            </w:pPr>
            <w:r>
              <w:rPr>
                <w:rFonts w:hint="eastAsia" w:cs="楷体" w:asciiTheme="minorEastAsia" w:hAnsiTheme="minorEastAsia" w:eastAsiaTheme="minorEastAsia"/>
                <w:bCs/>
                <w:color w:val="000000"/>
                <w:sz w:val="21"/>
                <w:szCs w:val="21"/>
              </w:rPr>
              <w:t>数量</w:t>
            </w:r>
          </w:p>
        </w:tc>
        <w:tc>
          <w:tcPr>
            <w:tcW w:w="1751" w:type="dxa"/>
          </w:tcPr>
          <w:p>
            <w:pPr>
              <w:pStyle w:val="2"/>
              <w:spacing w:line="580" w:lineRule="exact"/>
              <w:rPr>
                <w:rFonts w:cs="楷体" w:asciiTheme="minorEastAsia" w:hAnsiTheme="minorEastAsia" w:eastAsiaTheme="minorEastAsia"/>
                <w:bCs/>
                <w:color w:val="000000"/>
                <w:sz w:val="21"/>
                <w:szCs w:val="21"/>
              </w:rPr>
            </w:pPr>
            <w:r>
              <w:rPr>
                <w:rFonts w:hint="eastAsia" w:cs="楷体" w:asciiTheme="minorEastAsia" w:hAnsiTheme="minorEastAsia" w:eastAsiaTheme="minorEastAsia"/>
                <w:bCs/>
                <w:color w:val="000000"/>
                <w:sz w:val="21"/>
                <w:szCs w:val="21"/>
              </w:rPr>
              <w:t>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tcPr>
          <w:p>
            <w:pPr>
              <w:pStyle w:val="2"/>
              <w:spacing w:line="580" w:lineRule="exact"/>
              <w:jc w:val="center"/>
              <w:rPr>
                <w:rFonts w:cs="楷体" w:asciiTheme="minorEastAsia" w:hAnsiTheme="minorEastAsia" w:eastAsiaTheme="minorEastAsia"/>
                <w:bCs/>
                <w:color w:val="000000"/>
                <w:sz w:val="21"/>
                <w:szCs w:val="21"/>
              </w:rPr>
            </w:pPr>
            <w:r>
              <w:rPr>
                <w:rFonts w:hint="eastAsia" w:cs="楷体" w:asciiTheme="minorEastAsia" w:hAnsiTheme="minorEastAsia" w:eastAsiaTheme="minorEastAsia"/>
                <w:bCs/>
                <w:color w:val="000000"/>
                <w:sz w:val="21"/>
                <w:szCs w:val="21"/>
              </w:rPr>
              <w:t>1</w:t>
            </w:r>
          </w:p>
        </w:tc>
        <w:tc>
          <w:tcPr>
            <w:tcW w:w="5387" w:type="dxa"/>
          </w:tcPr>
          <w:p>
            <w:pPr>
              <w:pStyle w:val="2"/>
              <w:spacing w:line="580" w:lineRule="exact"/>
              <w:rPr>
                <w:rFonts w:cs="楷体" w:asciiTheme="minorEastAsia" w:hAnsiTheme="minorEastAsia" w:eastAsiaTheme="minorEastAsia"/>
                <w:bCs/>
                <w:color w:val="000000"/>
                <w:sz w:val="21"/>
                <w:szCs w:val="21"/>
              </w:rPr>
            </w:pPr>
            <w:r>
              <w:rPr>
                <w:rFonts w:hint="eastAsia" w:cs="楷体" w:asciiTheme="minorEastAsia" w:hAnsiTheme="minorEastAsia" w:eastAsiaTheme="minorEastAsia"/>
                <w:bCs/>
                <w:color w:val="000000"/>
                <w:sz w:val="21"/>
                <w:szCs w:val="21"/>
              </w:rPr>
              <w:t>长城汽车-哈弗H6 2018款 换代 红标 1.5T 自动超豪型</w:t>
            </w:r>
          </w:p>
        </w:tc>
        <w:tc>
          <w:tcPr>
            <w:tcW w:w="709" w:type="dxa"/>
          </w:tcPr>
          <w:p>
            <w:pPr>
              <w:pStyle w:val="2"/>
              <w:spacing w:line="580" w:lineRule="exact"/>
              <w:rPr>
                <w:rFonts w:cs="楷体" w:asciiTheme="minorEastAsia" w:hAnsiTheme="minorEastAsia" w:eastAsiaTheme="minorEastAsia"/>
                <w:bCs/>
                <w:color w:val="000000"/>
                <w:sz w:val="21"/>
                <w:szCs w:val="21"/>
              </w:rPr>
            </w:pPr>
            <w:r>
              <w:rPr>
                <w:rFonts w:hint="eastAsia" w:cs="楷体" w:asciiTheme="minorEastAsia" w:hAnsiTheme="minorEastAsia" w:eastAsiaTheme="minorEastAsia"/>
                <w:bCs/>
                <w:color w:val="000000"/>
                <w:sz w:val="21"/>
                <w:szCs w:val="21"/>
              </w:rPr>
              <w:t>1辆</w:t>
            </w:r>
          </w:p>
        </w:tc>
        <w:tc>
          <w:tcPr>
            <w:tcW w:w="1751" w:type="dxa"/>
          </w:tcPr>
          <w:p>
            <w:pPr>
              <w:pStyle w:val="2"/>
              <w:spacing w:line="580" w:lineRule="exact"/>
              <w:rPr>
                <w:rFonts w:cs="楷体" w:asciiTheme="minorEastAsia" w:hAnsiTheme="minorEastAsia" w:eastAsiaTheme="minorEastAsia"/>
                <w:bCs/>
                <w:color w:val="000000"/>
                <w:sz w:val="21"/>
                <w:szCs w:val="21"/>
              </w:rPr>
            </w:pPr>
            <w:r>
              <w:rPr>
                <w:rFonts w:hint="eastAsia" w:cs="楷体" w:asciiTheme="minorEastAsia" w:hAnsiTheme="minorEastAsia" w:eastAsiaTheme="minorEastAsia"/>
                <w:bCs/>
                <w:color w:val="000000"/>
                <w:sz w:val="21"/>
                <w:szCs w:val="21"/>
              </w:rPr>
              <w:t>15万元</w:t>
            </w:r>
            <w:r>
              <w:rPr>
                <w:rFonts w:cs="楷体" w:asciiTheme="minorEastAsia" w:hAnsiTheme="minorEastAsia" w:eastAsiaTheme="minorEastAsia"/>
                <w:bCs/>
                <w:color w:val="000000"/>
                <w:sz w:val="21"/>
                <w:szCs w:val="21"/>
              </w:rPr>
              <w:t>/</w:t>
            </w:r>
            <w:r>
              <w:rPr>
                <w:rFonts w:hint="eastAsia" w:cs="楷体" w:asciiTheme="minorEastAsia" w:hAnsiTheme="minorEastAsia" w:eastAsiaTheme="minorEastAsia"/>
                <w:bCs/>
                <w:color w:val="000000"/>
                <w:sz w:val="21"/>
                <w:szCs w:val="21"/>
              </w:rPr>
              <w:t>辆</w:t>
            </w:r>
          </w:p>
        </w:tc>
      </w:tr>
    </w:tbl>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(二）本次采购项目总报价不得高于15万元；</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注：以上报价包括车辆购置税、车辆牌照费用、第一年车辆保险费用（第一年车辆保险费用不低于7000元），车膜、脚垫、行车记录仪等配套物品不低于3000元，发票为16%增值税专用发票。</w:t>
      </w:r>
    </w:p>
    <w:p>
      <w:pPr>
        <w:pStyle w:val="2"/>
        <w:spacing w:line="58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（三）采购详细参数需求</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长城汽车-哈弗H6 2018款 换代 红标 1.5T 自动超豪型【点击下载】。</w:t>
      </w:r>
    </w:p>
    <w:p>
      <w:pPr>
        <w:adjustRightInd w:val="0"/>
        <w:snapToGrid w:val="0"/>
        <w:spacing w:line="580" w:lineRule="exact"/>
        <w:ind w:firstLine="643" w:firstLineChars="200"/>
        <w:jc w:val="left"/>
        <w:rPr>
          <w:rFonts w:ascii="楷体" w:hAnsi="楷体" w:eastAsia="楷体" w:cs="楷体"/>
          <w:b/>
          <w:bCs/>
          <w:color w:val="000000"/>
          <w:sz w:val="32"/>
          <w:szCs w:val="32"/>
        </w:rPr>
      </w:pPr>
      <w:r>
        <w:rPr>
          <w:rFonts w:hint="eastAsia" w:ascii="楷体" w:hAnsi="楷体" w:eastAsia="楷体" w:cs="楷体"/>
          <w:b/>
          <w:bCs/>
          <w:color w:val="000000"/>
          <w:sz w:val="32"/>
          <w:szCs w:val="32"/>
        </w:rPr>
        <w:t>三、中选规则</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（一）首次公告期限：2018年10月</w:t>
      </w:r>
      <w:r>
        <w:rPr>
          <w:rFonts w:hint="eastAsia" w:ascii="方正仿宋简体" w:hAnsi="方正仿宋简体" w:eastAsia="方正仿宋简体" w:cs="方正仿宋简体"/>
          <w:color w:val="000000"/>
          <w:sz w:val="32"/>
          <w:szCs w:val="32"/>
          <w:lang w:val="en-US" w:eastAsia="zh-CN"/>
        </w:rPr>
        <w:t>25</w:t>
      </w:r>
      <w:r>
        <w:rPr>
          <w:rFonts w:hint="eastAsia" w:ascii="方正仿宋简体" w:hAnsi="方正仿宋简体" w:eastAsia="方正仿宋简体" w:cs="方正仿宋简体"/>
          <w:color w:val="000000"/>
          <w:sz w:val="32"/>
          <w:szCs w:val="32"/>
        </w:rPr>
        <w:t>日—2018年10月</w:t>
      </w:r>
      <w:r>
        <w:rPr>
          <w:rFonts w:hint="eastAsia" w:ascii="方正仿宋简体" w:hAnsi="方正仿宋简体" w:eastAsia="方正仿宋简体" w:cs="方正仿宋简体"/>
          <w:color w:val="000000"/>
          <w:sz w:val="32"/>
          <w:szCs w:val="32"/>
          <w:lang w:val="en-US" w:eastAsia="zh-CN"/>
        </w:rPr>
        <w:t>31</w:t>
      </w:r>
      <w:bookmarkStart w:id="1" w:name="_GoBack"/>
      <w:bookmarkEnd w:id="1"/>
      <w:r>
        <w:rPr>
          <w:rFonts w:hint="eastAsia" w:ascii="方正仿宋简体" w:hAnsi="方正仿宋简体" w:eastAsia="方正仿宋简体" w:cs="方正仿宋简体"/>
          <w:color w:val="000000"/>
          <w:sz w:val="32"/>
          <w:szCs w:val="32"/>
        </w:rPr>
        <w:t>日止。</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1.公告期满，如未征集到意向供应商或只征集到一家或二家意向供应商，则不变更挂牌条件，按5个工作日为一个周期延长信息发布，直至征集到三家或三家以上意向供应商，最多延长10个周期。</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2.公告期满，如征集到三家及三家以上意向供应商，则通过网络竞价的方式，价低者中。</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（二）根据本公告和西南联合产权交易所交易规则，西南联合产权交易所广安分所在公告期内，接受意向供应商报名材料。采购方四川经准检验检测集团股份有限公司测绘分公司对意向供货商的资料进行确认。</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（三）西南联合产权交易所广安分所组织竞价。</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（四）供应商确定后，西南联合产权交易所在3个工作日内向其发出中选通知书。</w:t>
      </w:r>
    </w:p>
    <w:p>
      <w:pPr>
        <w:adjustRightInd w:val="0"/>
        <w:snapToGrid w:val="0"/>
        <w:spacing w:line="580" w:lineRule="exact"/>
        <w:ind w:firstLine="643" w:firstLineChars="200"/>
        <w:jc w:val="left"/>
        <w:rPr>
          <w:rFonts w:ascii="楷体" w:hAnsi="楷体" w:eastAsia="楷体" w:cs="楷体"/>
          <w:b/>
          <w:bCs/>
          <w:color w:val="000000"/>
          <w:sz w:val="32"/>
          <w:szCs w:val="32"/>
        </w:rPr>
      </w:pPr>
      <w:r>
        <w:rPr>
          <w:rFonts w:hint="eastAsia" w:ascii="楷体" w:hAnsi="楷体" w:eastAsia="楷体" w:cs="楷体"/>
          <w:b/>
          <w:bCs/>
          <w:color w:val="000000"/>
          <w:sz w:val="32"/>
          <w:szCs w:val="32"/>
        </w:rPr>
        <w:t>四、报名条件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（一）在中国境内合法存续，且具备本次采购项目经营范围的企业法人，（汽车经销商或汽车生产厂家）。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（二）意向供应方报名时需交纳交易保证金 1 万元。</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（三）国家法律、行政法规规定的其它条件。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（四）意向供应方应在公告期内办理报名手续，并在公告到期日17:00前交纳保证金至交易所指定账户。</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账号名称：西南联合产权交易所有限责任公司广安分所</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开户银行：中国银行股份有限公司广安分行</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账号：119905520004</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（五）意向供应方报名时需提供如下资料：</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（1）主体资格类资料：企业法人营业执照、法定代表人身份证复印件、授权委托书、经办人身份证原件及复印件。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（2）其他类：意向</w:t>
      </w:r>
      <w:r>
        <w:rPr>
          <w:rFonts w:hint="eastAsia" w:ascii="方正仿宋简体" w:hAnsi="方正仿宋简体" w:eastAsia="方正仿宋简体" w:cs="方正仿宋简体"/>
          <w:color w:val="000000"/>
          <w:sz w:val="32"/>
          <w:szCs w:val="32"/>
          <w:lang w:val="en-US" w:eastAsia="zh-CN"/>
        </w:rPr>
        <w:t>供应</w:t>
      </w:r>
      <w:r>
        <w:rPr>
          <w:rFonts w:hint="eastAsia" w:ascii="方正仿宋简体" w:hAnsi="方正仿宋简体" w:eastAsia="方正仿宋简体" w:cs="方正仿宋简体"/>
          <w:color w:val="000000"/>
          <w:sz w:val="32"/>
          <w:szCs w:val="32"/>
        </w:rPr>
        <w:t>申请书。</w:t>
      </w:r>
    </w:p>
    <w:p>
      <w:pPr>
        <w:pStyle w:val="2"/>
        <w:rPr>
          <w:rFonts w:eastAsia="方正仿宋简体"/>
        </w:rPr>
      </w:pPr>
      <w:r>
        <w:rPr>
          <w:rFonts w:hint="eastAsia" w:ascii="方正仿宋简体" w:hAnsi="方正仿宋简体" w:eastAsia="方正仿宋简体" w:cs="方正仿宋简体"/>
          <w:color w:val="000000"/>
          <w:sz w:val="32"/>
          <w:szCs w:val="32"/>
        </w:rPr>
        <w:t xml:space="preserve">    （3）保证金缴纳凭证复印件。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（六）本项目不接受联合体报名。</w:t>
      </w:r>
    </w:p>
    <w:p>
      <w:pPr>
        <w:adjustRightInd w:val="0"/>
        <w:snapToGrid w:val="0"/>
        <w:spacing w:line="580" w:lineRule="exact"/>
        <w:ind w:firstLine="643" w:firstLineChars="200"/>
        <w:jc w:val="left"/>
        <w:rPr>
          <w:rFonts w:ascii="楷体" w:hAnsi="楷体" w:eastAsia="楷体" w:cs="楷体"/>
          <w:b/>
          <w:bCs/>
          <w:color w:val="000000"/>
          <w:sz w:val="32"/>
          <w:szCs w:val="32"/>
        </w:rPr>
      </w:pPr>
      <w:r>
        <w:rPr>
          <w:rFonts w:hint="eastAsia" w:ascii="楷体" w:hAnsi="楷体" w:eastAsia="楷体" w:cs="楷体"/>
          <w:b/>
          <w:bCs/>
          <w:color w:val="000000"/>
          <w:sz w:val="32"/>
          <w:szCs w:val="32"/>
        </w:rPr>
        <w:t>五、交货时间、价款结算及验收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1.交货期限：在合同签订次日起15日内完成，并提供货物的附属产品（如车辆使用说明书、合格证等）。</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2.验收由采购方组织，供应商配合进行：</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（1）供应商全部产品安装、调试、集成完毕后，进入 7日试用期；试用期间发生重大质量问题，试用期间相应顺延；试用期结束后3个工作日内完成最终验收，供应商应出具最终验收报告；</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验收标准：按国家有关规定、采购文件的质量要求和技术指标、供应商的相应文件及承诺以及采购合同约定标准进行验收；采购方和供应商如对质量要求和技术指标的约定标准存在相互抵触或异议，由采购方在采购相应的文件中按质量要求和技术指标比较优胜的原则确定该项的约定标准进行验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3）验收时如发现所交付的产品不符合标准及采购合同规定之情形，采购方应做出详尽的现场记录，或由采购方、供应商双方签署备忘录，此现场记录或备忘录可用作补充、缺失和更换损坏部件的有效证据，由此产生的时间延误与有关费用由供应商承担，验收期限相应顺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（4）如质量验收合格，双方签署质量验收报告。并在验收合格次日起10个工作日内付清款项。</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3.产品安装调试、集成完毕后7日内，采购方无故不进行验收工作并已使用产品的，视同已验收合格。</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4.供应商应将所提供产品知识产权的文本、图纸等资料交付给采购方；供应商不能完整交付产品及本款规定的资料的，必须负责补齐，否则视为未按合同约定交货。</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5.产品不能达到国家有关规定、采购文件的质量要求和技术指标、供应商的相应文件及承诺以及采购合同约定的质量标准，采购方有权拒绝接收，并视作供应商不能交付而须支付违约赔偿金给采购方，采购方有权依法追究供货商的违约责任。</w:t>
      </w:r>
    </w:p>
    <w:p>
      <w:pPr>
        <w:adjustRightInd w:val="0"/>
        <w:snapToGrid w:val="0"/>
        <w:spacing w:line="580" w:lineRule="exact"/>
        <w:ind w:firstLine="643" w:firstLineChars="200"/>
        <w:jc w:val="left"/>
        <w:rPr>
          <w:rFonts w:ascii="楷体" w:hAnsi="楷体" w:eastAsia="楷体" w:cs="楷体"/>
          <w:b/>
          <w:bCs/>
          <w:color w:val="000000"/>
          <w:sz w:val="32"/>
          <w:szCs w:val="32"/>
        </w:rPr>
      </w:pPr>
      <w:r>
        <w:rPr>
          <w:rFonts w:hint="eastAsia" w:ascii="楷体" w:hAnsi="楷体" w:eastAsia="楷体" w:cs="楷体"/>
          <w:b/>
          <w:bCs/>
          <w:color w:val="000000"/>
          <w:sz w:val="32"/>
          <w:szCs w:val="32"/>
        </w:rPr>
        <w:t>六、售后服务事宜</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售后服务：供应商须指派专人负责与采购方联系售后服务事宜，供应商须如实填写售后服务承诺，按照国家“三包”规定及相关行业规定实行质量保证。质保期内非人为损坏，供应商须免费维修或更换有质量问题的商品或部件。对人为损坏或其它不可抗拒的外部环境损坏部份，只按厂价收实际的材料费。</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（二）质保期内出现质量问题，供应商在接到通知后 24小时内响应到场，若因距离远，无法及时到达，需说明原因并积极联系就近维修店进行施救。48小时内完成维修或更换，并承担修理调换的费用；如产品不能达到本合同约定的质量标准，采购方有权退货并追究供应商的违约责任。</w:t>
      </w:r>
    </w:p>
    <w:p>
      <w:pPr>
        <w:pStyle w:val="4"/>
        <w:spacing w:line="580" w:lineRule="exact"/>
        <w:ind w:firstLine="643" w:firstLineChars="200"/>
        <w:rPr>
          <w:rFonts w:ascii="仿宋_GB2312" w:hAnsi="Ђˎ̥" w:eastAsia="仿宋_GB2312" w:cs="宋体"/>
          <w:b/>
          <w:bCs/>
          <w:color w:val="000000"/>
          <w:kern w:val="0"/>
          <w:sz w:val="32"/>
          <w:szCs w:val="32"/>
        </w:rPr>
      </w:pPr>
      <w:r>
        <w:rPr>
          <w:rFonts w:hint="eastAsia" w:ascii="楷体" w:hAnsi="楷体" w:eastAsia="楷体" w:cs="楷体"/>
          <w:b/>
          <w:bCs/>
          <w:color w:val="000000"/>
          <w:sz w:val="32"/>
          <w:szCs w:val="32"/>
        </w:rPr>
        <w:t>七、交易保证金处置办法</w:t>
      </w:r>
    </w:p>
    <w:p>
      <w:pPr>
        <w:pStyle w:val="4"/>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（一）采取网络竞价（逆向竞价）方式，意向供应商资格一经确认，其交纳的交易保证金自动转为竞价保证金。</w:t>
      </w:r>
    </w:p>
    <w:p>
      <w:pPr>
        <w:pStyle w:val="4"/>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（二）若意向</w:t>
      </w:r>
      <w:bookmarkStart w:id="0" w:name="OLE_LINK1"/>
      <w:r>
        <w:rPr>
          <w:rFonts w:hint="eastAsia" w:ascii="方正仿宋简体" w:hAnsi="方正仿宋简体" w:eastAsia="方正仿宋简体" w:cs="方正仿宋简体"/>
          <w:color w:val="000000"/>
          <w:sz w:val="32"/>
          <w:szCs w:val="32"/>
        </w:rPr>
        <w:t>供应商</w:t>
      </w:r>
      <w:bookmarkEnd w:id="0"/>
      <w:r>
        <w:rPr>
          <w:rFonts w:hint="eastAsia" w:ascii="方正仿宋简体" w:hAnsi="方正仿宋简体" w:eastAsia="方正仿宋简体" w:cs="方正仿宋简体"/>
          <w:color w:val="000000"/>
          <w:sz w:val="32"/>
          <w:szCs w:val="32"/>
        </w:rPr>
        <w:t>确定为最终供应商，该保证金在扣除应当支付给西南联合产权交易所的经纪代理服务费后，剩余部分转为履约保证金由西南联合产权交易所划转至采购方指定账户；若意向供应商未成功竞得该交易标的，西南联合产权交易所将按原渠道无息退还保证金。</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（三）保证金缴纳及处置方法：</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供货商在收到中标通知书次日起凭缴款凭证及中标通知书在3个工作日内与采购方（四川经准检验检测集团股份有限公司测绘分公司）签订合同。签订合同次日起在10个工作日内原渠道无息退还履约保证金。若因供应商原因，未在3个工作日内签订合同，则视为自动放弃中选资格，所缴纳的保证金不予退还。采购方有权重新挂牌公开征集供应商。</w:t>
      </w:r>
      <w:r>
        <w:rPr>
          <w:rFonts w:hint="eastAsia" w:ascii="方正仿宋简体" w:hAnsi="方正仿宋简体" w:eastAsia="方正仿宋简体" w:cs="方正仿宋简体"/>
          <w:color w:val="000000"/>
          <w:sz w:val="32"/>
          <w:szCs w:val="32"/>
        </w:rPr>
        <w:br w:type="textWrapping"/>
      </w:r>
      <w:r>
        <w:rPr>
          <w:rFonts w:hint="eastAsia" w:ascii="仿宋_GB2312" w:hAnsi="Ђˎ̥" w:eastAsia="仿宋_GB2312" w:cs="宋体"/>
          <w:color w:val="000000"/>
          <w:kern w:val="0"/>
          <w:sz w:val="32"/>
          <w:szCs w:val="32"/>
        </w:rPr>
        <w:t xml:space="preserve">   </w:t>
      </w:r>
      <w:r>
        <w:rPr>
          <w:rFonts w:hint="eastAsia" w:ascii="方正仿宋简体" w:hAnsi="方正仿宋简体" w:eastAsia="方正仿宋简体" w:cs="方正仿宋简体"/>
          <w:color w:val="000000"/>
          <w:sz w:val="32"/>
          <w:szCs w:val="32"/>
        </w:rPr>
        <w:t xml:space="preserve"> （四）意向供应商保证金不予退还的情形: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当出现下列情形时，采购方可以以意向供应商交纳的保证金为限，在扣除本所的经纪代理服务费用后，向意向供应商主张相应的赔偿责任：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（1）意向供应商故意提供虚假、失实材料造成采购方和本所损失的；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（2）意向供应商通过获取采购方的商业秘密，侵害采购方合法权益的；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（3）意向供应商之间相互串通，影响公平竞争，侵害采购方合法权益的；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（4）意向供应商对采购方、交易机构及任何相关人员采取施加影响、行贿等不正当竞争行为，影响竞价程序公正性的；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（5）意向供应商违反在申请采购、公开竞价过程中做出的承诺的；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（6）意向供应商提交《采购申请书》后，经确认采购资格后，单方撤回采购申请的；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（7）意向供应商拒绝参加后续竞买程序的；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（8）意向供应商确定为最终供应商后，拒绝签署网络报价成交价格确认单的；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（9）意向供应商无故不推进交易或无故放弃采购的；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（10）意向供应商在确定为供应商后3个工作日内非因采购方原因未与采购方签订合同的；</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（11）意向供应商违反法律法规及西南联合产权交易所企业国有产权交易规则，影响竞价公正性的行为；</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（12）产权交易涉及主体资格审查、反垄断审查等情形时，因意向供应商自身原因而无法获得政府相关部门批准的；</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（13）所有意向供应商未在规定时间内报价的。</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保证金金额不足以弥补采购方、本所损失的，利益受损方可以向有过错方进行追偿。</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当出现上述十三条所列情形时，本所有权直接在意向供应商交纳的保证金中扣除本所的经纪代理服务费用后，保证金余额直接向采购方指定资金账户划转，并由采购方负责余额处置。    </w:t>
      </w:r>
    </w:p>
    <w:p>
      <w:pPr>
        <w:pStyle w:val="4"/>
        <w:spacing w:line="580" w:lineRule="exact"/>
        <w:rPr>
          <w:rFonts w:ascii="楷体" w:hAnsi="楷体" w:eastAsia="楷体" w:cs="楷体"/>
          <w:b/>
          <w:bCs/>
          <w:color w:val="000000"/>
          <w:sz w:val="32"/>
          <w:szCs w:val="32"/>
        </w:rPr>
      </w:pPr>
      <w:r>
        <w:rPr>
          <w:rFonts w:hint="eastAsia" w:ascii="仿宋_GB2312" w:hAnsi="Ђˎ̥" w:eastAsia="仿宋_GB2312" w:cs="宋体"/>
          <w:b/>
          <w:color w:val="000000"/>
          <w:kern w:val="0"/>
          <w:sz w:val="32"/>
          <w:szCs w:val="32"/>
        </w:rPr>
        <w:t xml:space="preserve">    </w:t>
      </w:r>
      <w:r>
        <w:rPr>
          <w:rFonts w:hint="eastAsia" w:ascii="楷体" w:hAnsi="楷体" w:eastAsia="楷体" w:cs="楷体"/>
          <w:b/>
          <w:bCs/>
          <w:color w:val="000000"/>
          <w:sz w:val="32"/>
          <w:szCs w:val="32"/>
        </w:rPr>
        <w:t>八、其他</w:t>
      </w:r>
    </w:p>
    <w:p>
      <w:pPr>
        <w:pStyle w:val="2"/>
        <w:spacing w:line="580" w:lineRule="exact"/>
        <w:rPr>
          <w:rFonts w:ascii="方正仿宋简体" w:hAnsi="方正仿宋简体" w:eastAsia="方正仿宋简体" w:cs="方正仿宋简体"/>
          <w:color w:val="000000"/>
          <w:sz w:val="32"/>
          <w:szCs w:val="32"/>
        </w:rPr>
      </w:pPr>
      <w:r>
        <w:rPr>
          <w:rFonts w:hint="eastAsia" w:ascii="仿宋_GB2312" w:hAnsi="Courier New" w:eastAsia="仿宋_GB2312"/>
          <w:color w:val="FF0000"/>
          <w:sz w:val="32"/>
          <w:szCs w:val="20"/>
        </w:rPr>
        <w:t xml:space="preserve">   </w:t>
      </w:r>
      <w:r>
        <w:rPr>
          <w:rFonts w:hint="eastAsia" w:ascii="方正仿宋简体" w:hAnsi="方正仿宋简体" w:eastAsia="方正仿宋简体" w:cs="方正仿宋简体"/>
          <w:color w:val="000000"/>
          <w:sz w:val="32"/>
          <w:szCs w:val="32"/>
        </w:rPr>
        <w:t xml:space="preserve"> 供应商确定后，供应商需要向西南联合产权交易所广安分所支付经纪代理服务费</w:t>
      </w:r>
      <w:r>
        <w:rPr>
          <w:rFonts w:hint="eastAsia" w:ascii="方正仿宋简体" w:hAnsi="方正仿宋简体" w:eastAsia="方正仿宋简体" w:cs="方正仿宋简体"/>
          <w:color w:val="000000"/>
          <w:sz w:val="32"/>
          <w:szCs w:val="32"/>
          <w:u w:val="none"/>
        </w:rPr>
        <w:t>0.22</w:t>
      </w:r>
      <w:r>
        <w:rPr>
          <w:rFonts w:hint="eastAsia" w:ascii="方正仿宋简体" w:hAnsi="方正仿宋简体" w:eastAsia="方正仿宋简体" w:cs="方正仿宋简体"/>
          <w:color w:val="000000"/>
          <w:sz w:val="32"/>
          <w:szCs w:val="32"/>
        </w:rPr>
        <w:t>万元。</w:t>
      </w:r>
    </w:p>
    <w:p>
      <w:pPr>
        <w:pStyle w:val="4"/>
        <w:spacing w:line="580" w:lineRule="exact"/>
        <w:ind w:firstLine="643" w:firstLineChars="200"/>
        <w:rPr>
          <w:rFonts w:ascii="仿宋_GB2312" w:hAnsi="Ђˎ̥" w:eastAsia="仿宋_GB2312" w:cs="宋体"/>
          <w:b/>
          <w:color w:val="000000"/>
          <w:kern w:val="0"/>
          <w:sz w:val="32"/>
          <w:szCs w:val="32"/>
        </w:rPr>
      </w:pPr>
      <w:r>
        <w:rPr>
          <w:rFonts w:hint="eastAsia" w:ascii="楷体" w:hAnsi="楷体" w:eastAsia="楷体" w:cs="楷体"/>
          <w:b/>
          <w:bCs/>
          <w:color w:val="000000"/>
          <w:sz w:val="32"/>
          <w:szCs w:val="32"/>
        </w:rPr>
        <w:t>九、报名地点及联系人</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1.广安市广安区金安大道二段66号西南联合产权交易所广安分所</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 xml:space="preserve">    联系人：刘老师       联系电话：0826-25560003</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2.四川省成都市高新区天泰路120号交易所大厦</w:t>
      </w:r>
    </w:p>
    <w:p>
      <w:pPr>
        <w:spacing w:line="580" w:lineRule="exact"/>
        <w:ind w:firstLine="1280" w:firstLineChars="4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联系人：</w:t>
      </w:r>
      <w:r>
        <w:rPr>
          <w:rFonts w:hint="eastAsia" w:ascii="方正仿宋简体" w:hAnsi="方正仿宋简体" w:eastAsia="方正仿宋简体" w:cs="方正仿宋简体"/>
          <w:color w:val="000000"/>
          <w:sz w:val="32"/>
          <w:szCs w:val="32"/>
          <w:lang w:val="en-US" w:eastAsia="zh-CN"/>
        </w:rPr>
        <w:t>徐</w:t>
      </w:r>
      <w:r>
        <w:rPr>
          <w:rFonts w:hint="eastAsia" w:ascii="方正仿宋简体" w:hAnsi="方正仿宋简体" w:eastAsia="方正仿宋简体" w:cs="方正仿宋简体"/>
          <w:color w:val="000000"/>
          <w:sz w:val="32"/>
          <w:szCs w:val="32"/>
        </w:rPr>
        <w:t>老师       联系电话：028-86123311</w:t>
      </w:r>
    </w:p>
    <w:p>
      <w:pPr>
        <w:spacing w:line="580" w:lineRule="exact"/>
        <w:ind w:firstLine="640" w:firstLineChars="200"/>
        <w:rPr>
          <w:rFonts w:ascii="方正仿宋简体" w:hAnsi="方正仿宋简体" w:eastAsia="方正仿宋简体" w:cs="方正仿宋简体"/>
          <w:color w:val="000000"/>
          <w:sz w:val="32"/>
          <w:szCs w:val="32"/>
        </w:rPr>
      </w:pPr>
    </w:p>
    <w:p>
      <w:pPr>
        <w:pStyle w:val="2"/>
      </w:pPr>
    </w:p>
    <w:p>
      <w:pPr>
        <w:spacing w:line="480" w:lineRule="exact"/>
        <w:rPr>
          <w:rFonts w:hAnsi="宋体"/>
          <w:b/>
          <w:sz w:val="36"/>
          <w:szCs w:val="36"/>
        </w:rPr>
      </w:pPr>
    </w:p>
    <w:p>
      <w:pPr>
        <w:spacing w:line="480" w:lineRule="exact"/>
        <w:rPr>
          <w:rFonts w:hAnsi="宋体"/>
          <w:b/>
          <w:sz w:val="36"/>
          <w:szCs w:val="36"/>
        </w:rPr>
      </w:pPr>
      <w:r>
        <w:rPr>
          <w:rFonts w:hint="eastAsia" w:hAnsi="宋体"/>
          <w:b/>
          <w:sz w:val="36"/>
          <w:szCs w:val="36"/>
        </w:rPr>
        <w:t>汽车参数表：</w:t>
      </w:r>
    </w:p>
    <w:p>
      <w:pPr>
        <w:pStyle w:val="2"/>
        <w:spacing w:line="580" w:lineRule="exact"/>
        <w:rPr>
          <w:rFonts w:cs="楷体" w:asciiTheme="minorEastAsia" w:hAnsiTheme="minorEastAsia" w:eastAsiaTheme="minorEastAsia"/>
          <w:bCs/>
          <w:color w:val="000000"/>
          <w:sz w:val="21"/>
          <w:szCs w:val="21"/>
        </w:rPr>
      </w:pPr>
    </w:p>
    <w:p>
      <w:pPr>
        <w:pStyle w:val="2"/>
        <w:spacing w:line="580" w:lineRule="exact"/>
        <w:jc w:val="center"/>
        <w:rPr>
          <w:rFonts w:cs="楷体" w:asciiTheme="minorEastAsia" w:hAnsiTheme="minorEastAsia" w:eastAsiaTheme="minorEastAsia"/>
          <w:bCs/>
          <w:color w:val="000000"/>
          <w:sz w:val="28"/>
          <w:szCs w:val="28"/>
        </w:rPr>
      </w:pPr>
      <w:r>
        <w:rPr>
          <w:rFonts w:hint="eastAsia" w:cs="楷体" w:asciiTheme="minorEastAsia" w:hAnsiTheme="minorEastAsia" w:eastAsiaTheme="minorEastAsia"/>
          <w:bCs/>
          <w:color w:val="000000"/>
          <w:sz w:val="28"/>
          <w:szCs w:val="28"/>
        </w:rPr>
        <w:t>长城汽车-哈弗H6 2018款 换代 红标 1.5T 自动超豪型</w:t>
      </w:r>
    </w:p>
    <w:tbl>
      <w:tblPr>
        <w:tblStyle w:val="10"/>
        <w:tblW w:w="9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2910"/>
        <w:gridCol w:w="3645"/>
        <w:gridCol w:w="1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宋体" w:hAnsi="宋体" w:cs="宋体"/>
                <w:b/>
                <w:bCs/>
                <w:sz w:val="24"/>
              </w:rPr>
            </w:pPr>
            <w:r>
              <w:rPr>
                <w:rFonts w:hint="eastAsia" w:ascii="宋体" w:hAnsi="宋体" w:cs="宋体"/>
                <w:b/>
                <w:bCs/>
                <w:sz w:val="24"/>
              </w:rPr>
              <w:t>序 号</w:t>
            </w:r>
          </w:p>
        </w:tc>
        <w:tc>
          <w:tcPr>
            <w:tcW w:w="2910" w:type="dxa"/>
            <w:vAlign w:val="center"/>
          </w:tcPr>
          <w:p>
            <w:pPr>
              <w:ind w:firstLine="420"/>
              <w:jc w:val="center"/>
              <w:rPr>
                <w:rFonts w:ascii="宋体" w:hAnsi="宋体" w:cs="宋体"/>
                <w:b/>
                <w:bCs/>
                <w:sz w:val="24"/>
              </w:rPr>
            </w:pPr>
            <w:r>
              <w:rPr>
                <w:rFonts w:hint="eastAsia" w:ascii="宋体" w:hAnsi="宋体" w:cs="宋体"/>
                <w:b/>
                <w:bCs/>
                <w:sz w:val="24"/>
              </w:rPr>
              <w:t>名  称</w:t>
            </w:r>
          </w:p>
        </w:tc>
        <w:tc>
          <w:tcPr>
            <w:tcW w:w="3645" w:type="dxa"/>
            <w:vAlign w:val="center"/>
          </w:tcPr>
          <w:p>
            <w:pPr>
              <w:ind w:firstLine="420"/>
              <w:jc w:val="center"/>
              <w:rPr>
                <w:rFonts w:ascii="宋体" w:hAnsi="宋体" w:cs="宋体"/>
                <w:b/>
                <w:bCs/>
                <w:sz w:val="24"/>
              </w:rPr>
            </w:pPr>
            <w:r>
              <w:rPr>
                <w:rFonts w:hint="eastAsia" w:ascii="宋体" w:hAnsi="宋体" w:cs="宋体"/>
                <w:b/>
                <w:bCs/>
                <w:sz w:val="24"/>
              </w:rPr>
              <w:t>参  数</w:t>
            </w:r>
          </w:p>
        </w:tc>
        <w:tc>
          <w:tcPr>
            <w:tcW w:w="1453" w:type="dxa"/>
            <w:vAlign w:val="center"/>
          </w:tcPr>
          <w:p>
            <w:pPr>
              <w:jc w:val="center"/>
              <w:rPr>
                <w:rFonts w:ascii="宋体" w:hAnsi="宋体" w:cs="宋体"/>
                <w:b/>
                <w:bCs/>
                <w:sz w:val="24"/>
              </w:rPr>
            </w:pPr>
            <w:r>
              <w:rPr>
                <w:rFonts w:hint="eastAsia" w:ascii="宋体" w:hAnsi="宋体" w:cs="宋体"/>
                <w:b/>
                <w:bCs/>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宋体" w:hAnsi="宋体" w:cs="宋体"/>
                <w:b/>
                <w:bCs/>
                <w:sz w:val="24"/>
              </w:rPr>
            </w:pPr>
            <w:r>
              <w:rPr>
                <w:rFonts w:hint="eastAsia" w:ascii="宋体" w:hAnsi="宋体" w:cs="宋体"/>
                <w:sz w:val="24"/>
              </w:rPr>
              <w:t>1</w:t>
            </w:r>
          </w:p>
        </w:tc>
        <w:tc>
          <w:tcPr>
            <w:tcW w:w="2910" w:type="dxa"/>
            <w:vAlign w:val="center"/>
          </w:tcPr>
          <w:p>
            <w:pPr>
              <w:ind w:firstLine="420"/>
              <w:jc w:val="center"/>
              <w:rPr>
                <w:rFonts w:ascii="宋体" w:hAnsi="宋体" w:cs="宋体"/>
                <w:sz w:val="24"/>
              </w:rPr>
            </w:pPr>
            <w:r>
              <w:rPr>
                <w:rFonts w:hint="eastAsia" w:ascii="宋体" w:hAnsi="宋体" w:cs="宋体"/>
                <w:sz w:val="24"/>
              </w:rPr>
              <w:t>数量</w:t>
            </w:r>
          </w:p>
        </w:tc>
        <w:tc>
          <w:tcPr>
            <w:tcW w:w="3645" w:type="dxa"/>
            <w:vAlign w:val="center"/>
          </w:tcPr>
          <w:p>
            <w:pPr>
              <w:ind w:firstLine="420"/>
              <w:jc w:val="center"/>
              <w:rPr>
                <w:rFonts w:ascii="宋体" w:hAnsi="宋体" w:cs="宋体"/>
                <w:sz w:val="24"/>
              </w:rPr>
            </w:pPr>
            <w:r>
              <w:rPr>
                <w:rFonts w:hint="eastAsia" w:ascii="宋体" w:hAnsi="宋体" w:cs="宋体"/>
                <w:sz w:val="24"/>
              </w:rPr>
              <w:t>1台</w:t>
            </w:r>
          </w:p>
        </w:tc>
        <w:tc>
          <w:tcPr>
            <w:tcW w:w="1453" w:type="dxa"/>
            <w:vAlign w:val="center"/>
          </w:tcPr>
          <w:p>
            <w:pPr>
              <w:jc w:val="center"/>
              <w:rPr>
                <w:rFonts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2</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发动机排量</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1499ML</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3</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变速箱</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7档双离合</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7"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4</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长宽高（mm）</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长：4610</w:t>
            </w:r>
          </w:p>
          <w:p>
            <w:pPr>
              <w:ind w:firstLine="420"/>
              <w:jc w:val="center"/>
              <w:rPr>
                <w:rFonts w:ascii="宋体" w:hAnsi="宋体" w:cs="宋体"/>
                <w:color w:val="000000"/>
                <w:sz w:val="24"/>
              </w:rPr>
            </w:pPr>
            <w:r>
              <w:rPr>
                <w:rFonts w:hint="eastAsia" w:ascii="宋体" w:hAnsi="宋体" w:cs="宋体"/>
                <w:color w:val="000000"/>
                <w:sz w:val="24"/>
              </w:rPr>
              <w:t>宽：1860</w:t>
            </w:r>
          </w:p>
          <w:p>
            <w:pPr>
              <w:ind w:firstLine="420"/>
              <w:jc w:val="center"/>
              <w:rPr>
                <w:rFonts w:ascii="宋体" w:hAnsi="宋体" w:cs="宋体"/>
                <w:color w:val="000000"/>
                <w:sz w:val="24"/>
              </w:rPr>
            </w:pPr>
            <w:r>
              <w:rPr>
                <w:rFonts w:hint="eastAsia" w:ascii="宋体" w:hAnsi="宋体" w:cs="宋体"/>
                <w:color w:val="000000"/>
                <w:sz w:val="24"/>
              </w:rPr>
              <w:t>高：1720</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5</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车身结构</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5门5座SUV</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6</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轴距（mm）</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2680</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7</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kern w:val="0"/>
                <w:sz w:val="24"/>
              </w:rPr>
              <w:t>最大扭矩（N.m）</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285</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8</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最大功率（KW）</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124</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9</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环保标准</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国V</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10</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驱动方式</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前置两驱</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11</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前悬挂类型</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麦弗逊式独立悬架</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12</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后悬挂类型</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双横臂式独立悬架</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13</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轮胎规格</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235/55/R19</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14</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燃油形式</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汽油</w:t>
            </w:r>
          </w:p>
        </w:tc>
        <w:tc>
          <w:tcPr>
            <w:tcW w:w="1453"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15</w:t>
            </w:r>
          </w:p>
        </w:tc>
        <w:tc>
          <w:tcPr>
            <w:tcW w:w="2910" w:type="dxa"/>
            <w:vAlign w:val="center"/>
          </w:tcPr>
          <w:p>
            <w:pPr>
              <w:ind w:firstLine="420"/>
              <w:jc w:val="center"/>
              <w:rPr>
                <w:rFonts w:ascii="仿宋_GB2312" w:eastAsia="仿宋_GB2312"/>
                <w:color w:val="000000"/>
                <w:sz w:val="24"/>
              </w:rPr>
            </w:pPr>
            <w:r>
              <w:rPr>
                <w:rFonts w:hint="eastAsia" w:ascii="宋体" w:hAnsi="宋体" w:cs="宋体"/>
                <w:color w:val="000000"/>
                <w:kern w:val="0"/>
                <w:sz w:val="24"/>
              </w:rPr>
              <w:t>外观</w:t>
            </w:r>
          </w:p>
        </w:tc>
        <w:tc>
          <w:tcPr>
            <w:tcW w:w="3645" w:type="dxa"/>
            <w:vAlign w:val="center"/>
          </w:tcPr>
          <w:p>
            <w:pPr>
              <w:ind w:firstLine="420"/>
              <w:jc w:val="center"/>
              <w:rPr>
                <w:rFonts w:ascii="宋体" w:hAnsi="宋体" w:cs="宋体"/>
                <w:color w:val="000000"/>
                <w:sz w:val="24"/>
              </w:rPr>
            </w:pPr>
            <w:r>
              <w:rPr>
                <w:rFonts w:hint="eastAsia" w:ascii="宋体" w:hAnsi="宋体" w:cs="宋体"/>
                <w:color w:val="000000"/>
                <w:sz w:val="24"/>
              </w:rPr>
              <w:t>LED日间行车灯</w:t>
            </w:r>
          </w:p>
        </w:tc>
        <w:tc>
          <w:tcPr>
            <w:tcW w:w="1453"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16</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内装</w:t>
            </w:r>
          </w:p>
        </w:tc>
        <w:tc>
          <w:tcPr>
            <w:tcW w:w="3645"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主副驾驶座安全气囊、前排侧气囊、前后排头部气囊、自动空调</w:t>
            </w:r>
          </w:p>
        </w:tc>
        <w:tc>
          <w:tcPr>
            <w:tcW w:w="1453"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★17</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车辆颜色/内饰颜色</w:t>
            </w:r>
          </w:p>
        </w:tc>
        <w:tc>
          <w:tcPr>
            <w:tcW w:w="3645"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白色外观颜色/黑色内饰</w:t>
            </w:r>
          </w:p>
        </w:tc>
        <w:tc>
          <w:tcPr>
            <w:tcW w:w="1453"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宋体" w:hAnsi="宋体" w:cs="宋体"/>
                <w:kern w:val="0"/>
                <w:sz w:val="24"/>
              </w:rPr>
            </w:pPr>
            <w:r>
              <w:rPr>
                <w:rFonts w:hint="eastAsia" w:ascii="宋体" w:hAnsi="宋体" w:cs="宋体"/>
                <w:kern w:val="0"/>
                <w:sz w:val="24"/>
              </w:rPr>
              <w:t>★18</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装饰</w:t>
            </w:r>
          </w:p>
        </w:tc>
        <w:tc>
          <w:tcPr>
            <w:tcW w:w="3645"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脚垫、灭火器</w:t>
            </w:r>
          </w:p>
        </w:tc>
        <w:tc>
          <w:tcPr>
            <w:tcW w:w="1453"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宋体" w:hAnsi="宋体" w:cs="宋体"/>
                <w:kern w:val="0"/>
                <w:sz w:val="24"/>
              </w:rPr>
            </w:pPr>
            <w:r>
              <w:rPr>
                <w:rFonts w:hint="eastAsia" w:ascii="宋体" w:hAnsi="宋体" w:cs="宋体"/>
                <w:kern w:val="0"/>
                <w:sz w:val="24"/>
              </w:rPr>
              <w:t>19</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保修政策</w:t>
            </w:r>
          </w:p>
        </w:tc>
        <w:tc>
          <w:tcPr>
            <w:tcW w:w="3645"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3年或10万公里</w:t>
            </w:r>
          </w:p>
        </w:tc>
        <w:tc>
          <w:tcPr>
            <w:tcW w:w="1453"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092" w:type="dxa"/>
            <w:vAlign w:val="center"/>
          </w:tcPr>
          <w:p>
            <w:pPr>
              <w:jc w:val="center"/>
              <w:rPr>
                <w:rFonts w:ascii="宋体" w:hAnsi="宋体" w:cs="宋体"/>
                <w:kern w:val="0"/>
                <w:sz w:val="24"/>
              </w:rPr>
            </w:pPr>
            <w:r>
              <w:rPr>
                <w:rFonts w:hint="eastAsia" w:ascii="宋体" w:hAnsi="宋体" w:cs="宋体"/>
                <w:kern w:val="0"/>
                <w:sz w:val="24"/>
              </w:rPr>
              <w:t>20</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进气形式</w:t>
            </w:r>
          </w:p>
        </w:tc>
        <w:tc>
          <w:tcPr>
            <w:tcW w:w="3645"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涡轮增压</w:t>
            </w:r>
          </w:p>
        </w:tc>
        <w:tc>
          <w:tcPr>
            <w:tcW w:w="1453"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092" w:type="dxa"/>
            <w:vAlign w:val="center"/>
          </w:tcPr>
          <w:p>
            <w:pPr>
              <w:jc w:val="center"/>
              <w:rPr>
                <w:rFonts w:ascii="宋体" w:hAnsi="宋体" w:cs="宋体"/>
                <w:kern w:val="0"/>
                <w:sz w:val="24"/>
              </w:rPr>
            </w:pPr>
            <w:r>
              <w:rPr>
                <w:rFonts w:hint="eastAsia" w:ascii="宋体" w:hAnsi="宋体" w:cs="宋体"/>
                <w:kern w:val="0"/>
                <w:sz w:val="24"/>
              </w:rPr>
              <w:t>★21</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质保政策</w:t>
            </w:r>
          </w:p>
        </w:tc>
        <w:tc>
          <w:tcPr>
            <w:tcW w:w="3645"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3年或10万公里</w:t>
            </w:r>
          </w:p>
        </w:tc>
        <w:tc>
          <w:tcPr>
            <w:tcW w:w="1453"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092" w:type="dxa"/>
            <w:vAlign w:val="center"/>
          </w:tcPr>
          <w:p>
            <w:pPr>
              <w:jc w:val="center"/>
              <w:rPr>
                <w:rFonts w:ascii="宋体" w:hAnsi="宋体" w:cs="宋体"/>
                <w:kern w:val="0"/>
                <w:sz w:val="24"/>
              </w:rPr>
            </w:pPr>
            <w:r>
              <w:rPr>
                <w:rFonts w:hint="eastAsia" w:ascii="宋体" w:hAnsi="宋体" w:cs="宋体"/>
                <w:kern w:val="0"/>
                <w:sz w:val="24"/>
              </w:rPr>
              <w:t>★22</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其他</w:t>
            </w:r>
          </w:p>
        </w:tc>
        <w:tc>
          <w:tcPr>
            <w:tcW w:w="3645"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w:t>
            </w:r>
          </w:p>
        </w:tc>
        <w:tc>
          <w:tcPr>
            <w:tcW w:w="1453"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092" w:type="dxa"/>
            <w:vAlign w:val="center"/>
          </w:tcPr>
          <w:p>
            <w:pPr>
              <w:jc w:val="center"/>
              <w:rPr>
                <w:rFonts w:ascii="宋体" w:hAnsi="宋体" w:cs="宋体"/>
                <w:kern w:val="0"/>
                <w:sz w:val="24"/>
              </w:rPr>
            </w:pPr>
            <w:r>
              <w:rPr>
                <w:rFonts w:hint="eastAsia" w:ascii="宋体" w:hAnsi="宋体" w:cs="宋体"/>
                <w:kern w:val="0"/>
                <w:sz w:val="24"/>
              </w:rPr>
              <w:t>23</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厂商指导价</w:t>
            </w:r>
          </w:p>
        </w:tc>
        <w:tc>
          <w:tcPr>
            <w:tcW w:w="3645"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142000万元</w:t>
            </w:r>
          </w:p>
        </w:tc>
        <w:tc>
          <w:tcPr>
            <w:tcW w:w="1453" w:type="dxa"/>
            <w:vAlign w:val="center"/>
          </w:tcPr>
          <w:p>
            <w:pPr>
              <w:ind w:firstLine="420"/>
              <w:jc w:val="center"/>
              <w:rPr>
                <w:rFonts w:ascii="仿宋_GB2312" w:eastAsia="仿宋_GB2312"/>
                <w:sz w:val="24"/>
              </w:rPr>
            </w:pPr>
          </w:p>
        </w:tc>
      </w:tr>
    </w:tbl>
    <w:p>
      <w:pPr>
        <w:widowControl/>
        <w:jc w:val="left"/>
        <w:rPr>
          <w:rFonts w:hAnsi="宋体"/>
          <w:b/>
          <w:color w:val="FF0000"/>
          <w:sz w:val="24"/>
        </w:rPr>
      </w:pPr>
    </w:p>
    <w:p>
      <w:pPr>
        <w:pStyle w:val="2"/>
        <w:spacing w:line="580" w:lineRule="exact"/>
        <w:jc w:val="left"/>
        <w:rPr>
          <w:rFonts w:cs="楷体" w:asciiTheme="minorEastAsia" w:hAnsiTheme="minorEastAsia" w:eastAsiaTheme="minorEastAsia"/>
          <w:bCs/>
          <w:color w:val="000000"/>
          <w:sz w:val="21"/>
          <w:szCs w:val="21"/>
        </w:rPr>
      </w:pPr>
    </w:p>
    <w:p>
      <w:pPr>
        <w:widowControl/>
        <w:jc w:val="left"/>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注：</w:t>
      </w:r>
      <w:r>
        <w:rPr>
          <w:rFonts w:ascii="方正仿宋简体" w:hAnsi="方正仿宋简体" w:eastAsia="方正仿宋简体" w:cs="方正仿宋简体"/>
          <w:color w:val="000000"/>
          <w:sz w:val="32"/>
          <w:szCs w:val="32"/>
        </w:rPr>
        <w:t>供应商必须满足参数表里加</w:t>
      </w:r>
      <w:r>
        <w:rPr>
          <w:rFonts w:hint="eastAsia" w:ascii="方正仿宋简体" w:hAnsi="方正仿宋简体" w:eastAsia="方正仿宋简体" w:cs="方正仿宋简体"/>
          <w:color w:val="000000"/>
          <w:sz w:val="32"/>
          <w:szCs w:val="32"/>
        </w:rPr>
        <w:t>★</w:t>
      </w:r>
      <w:r>
        <w:rPr>
          <w:rFonts w:ascii="方正仿宋简体" w:hAnsi="方正仿宋简体" w:eastAsia="方正仿宋简体" w:cs="方正仿宋简体"/>
          <w:color w:val="000000"/>
          <w:sz w:val="32"/>
          <w:szCs w:val="32"/>
        </w:rPr>
        <w:t>的内容</w:t>
      </w:r>
      <w:r>
        <w:rPr>
          <w:rFonts w:hint="eastAsia" w:ascii="方正仿宋简体" w:hAnsi="方正仿宋简体" w:eastAsia="方正仿宋简体" w:cs="方正仿宋简体"/>
          <w:color w:val="000000"/>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Ђˎ̥">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30C7A2"/>
    <w:multiLevelType w:val="singleLevel"/>
    <w:tmpl w:val="5A30C7A2"/>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A27E97"/>
    <w:rsid w:val="00015CD9"/>
    <w:rsid w:val="00036511"/>
    <w:rsid w:val="00040E9F"/>
    <w:rsid w:val="00060DB7"/>
    <w:rsid w:val="000C753A"/>
    <w:rsid w:val="00121BA8"/>
    <w:rsid w:val="00122AA9"/>
    <w:rsid w:val="0013235A"/>
    <w:rsid w:val="001341A7"/>
    <w:rsid w:val="00142DBF"/>
    <w:rsid w:val="001B2758"/>
    <w:rsid w:val="001E63DF"/>
    <w:rsid w:val="0027487D"/>
    <w:rsid w:val="002A72B9"/>
    <w:rsid w:val="002B652F"/>
    <w:rsid w:val="003472D1"/>
    <w:rsid w:val="00387318"/>
    <w:rsid w:val="003B526B"/>
    <w:rsid w:val="003C3A7F"/>
    <w:rsid w:val="003E4D90"/>
    <w:rsid w:val="00404DB3"/>
    <w:rsid w:val="004242B1"/>
    <w:rsid w:val="00441C5D"/>
    <w:rsid w:val="00455F0E"/>
    <w:rsid w:val="00466D8F"/>
    <w:rsid w:val="004916CD"/>
    <w:rsid w:val="005111D3"/>
    <w:rsid w:val="0051161F"/>
    <w:rsid w:val="00544412"/>
    <w:rsid w:val="005727A0"/>
    <w:rsid w:val="005B68E8"/>
    <w:rsid w:val="0066206E"/>
    <w:rsid w:val="00676A36"/>
    <w:rsid w:val="00683FE7"/>
    <w:rsid w:val="00694566"/>
    <w:rsid w:val="00695561"/>
    <w:rsid w:val="006D2CC1"/>
    <w:rsid w:val="006E10FA"/>
    <w:rsid w:val="006E18A4"/>
    <w:rsid w:val="00702BA1"/>
    <w:rsid w:val="00703F95"/>
    <w:rsid w:val="0073491B"/>
    <w:rsid w:val="0077123F"/>
    <w:rsid w:val="007A1005"/>
    <w:rsid w:val="007D608D"/>
    <w:rsid w:val="00805A4F"/>
    <w:rsid w:val="00826B39"/>
    <w:rsid w:val="0084794F"/>
    <w:rsid w:val="00877623"/>
    <w:rsid w:val="00882318"/>
    <w:rsid w:val="008D32DB"/>
    <w:rsid w:val="008D3C4E"/>
    <w:rsid w:val="008E52AA"/>
    <w:rsid w:val="008F78A2"/>
    <w:rsid w:val="00942432"/>
    <w:rsid w:val="00970112"/>
    <w:rsid w:val="00987D48"/>
    <w:rsid w:val="009B05D4"/>
    <w:rsid w:val="009C40A1"/>
    <w:rsid w:val="009D41C2"/>
    <w:rsid w:val="009E2856"/>
    <w:rsid w:val="009F3015"/>
    <w:rsid w:val="00A43C6A"/>
    <w:rsid w:val="00A60487"/>
    <w:rsid w:val="00A84408"/>
    <w:rsid w:val="00A863D0"/>
    <w:rsid w:val="00AB31CA"/>
    <w:rsid w:val="00AE1271"/>
    <w:rsid w:val="00AE5DA2"/>
    <w:rsid w:val="00B108EA"/>
    <w:rsid w:val="00B140A2"/>
    <w:rsid w:val="00B2360D"/>
    <w:rsid w:val="00B405A1"/>
    <w:rsid w:val="00B655DA"/>
    <w:rsid w:val="00B6734A"/>
    <w:rsid w:val="00B91DEF"/>
    <w:rsid w:val="00BC72B5"/>
    <w:rsid w:val="00C52C56"/>
    <w:rsid w:val="00C56611"/>
    <w:rsid w:val="00C918B1"/>
    <w:rsid w:val="00CA1A91"/>
    <w:rsid w:val="00CC5AC7"/>
    <w:rsid w:val="00D002B3"/>
    <w:rsid w:val="00D37B5B"/>
    <w:rsid w:val="00D434AF"/>
    <w:rsid w:val="00D76619"/>
    <w:rsid w:val="00DA08D6"/>
    <w:rsid w:val="00DA0E43"/>
    <w:rsid w:val="00DD5A6F"/>
    <w:rsid w:val="00E070F7"/>
    <w:rsid w:val="00EB28AE"/>
    <w:rsid w:val="00EC3198"/>
    <w:rsid w:val="00EC6640"/>
    <w:rsid w:val="00ED3BEC"/>
    <w:rsid w:val="00F4271B"/>
    <w:rsid w:val="00F52381"/>
    <w:rsid w:val="00F7475D"/>
    <w:rsid w:val="01865217"/>
    <w:rsid w:val="035C372F"/>
    <w:rsid w:val="050E7561"/>
    <w:rsid w:val="056106F1"/>
    <w:rsid w:val="08AB2CB6"/>
    <w:rsid w:val="095E71C1"/>
    <w:rsid w:val="0A112B82"/>
    <w:rsid w:val="0D9F5B5A"/>
    <w:rsid w:val="0EA27E97"/>
    <w:rsid w:val="0EF35F6F"/>
    <w:rsid w:val="0F462F52"/>
    <w:rsid w:val="107F484D"/>
    <w:rsid w:val="143837E9"/>
    <w:rsid w:val="14AF3B23"/>
    <w:rsid w:val="159C473B"/>
    <w:rsid w:val="19CF6391"/>
    <w:rsid w:val="1D736F35"/>
    <w:rsid w:val="1E707356"/>
    <w:rsid w:val="1F9959FD"/>
    <w:rsid w:val="262D05F1"/>
    <w:rsid w:val="282E689A"/>
    <w:rsid w:val="283511F9"/>
    <w:rsid w:val="288A38BA"/>
    <w:rsid w:val="2B472D20"/>
    <w:rsid w:val="2C1761D2"/>
    <w:rsid w:val="2CD554DA"/>
    <w:rsid w:val="2E257677"/>
    <w:rsid w:val="2E4961F9"/>
    <w:rsid w:val="2F6F0B6B"/>
    <w:rsid w:val="312A60B1"/>
    <w:rsid w:val="323122C6"/>
    <w:rsid w:val="325823B4"/>
    <w:rsid w:val="3498484E"/>
    <w:rsid w:val="36157FD6"/>
    <w:rsid w:val="3BA55C0E"/>
    <w:rsid w:val="3BDF40E7"/>
    <w:rsid w:val="3D315983"/>
    <w:rsid w:val="3D9804D9"/>
    <w:rsid w:val="449B1D56"/>
    <w:rsid w:val="44AF5F0C"/>
    <w:rsid w:val="462A1E19"/>
    <w:rsid w:val="46443F30"/>
    <w:rsid w:val="46770C56"/>
    <w:rsid w:val="48401B50"/>
    <w:rsid w:val="48CC1310"/>
    <w:rsid w:val="4C6834D1"/>
    <w:rsid w:val="4EBD692F"/>
    <w:rsid w:val="4F000AC1"/>
    <w:rsid w:val="510250B0"/>
    <w:rsid w:val="51D11D27"/>
    <w:rsid w:val="52434A4B"/>
    <w:rsid w:val="534055E6"/>
    <w:rsid w:val="539345C0"/>
    <w:rsid w:val="549D1316"/>
    <w:rsid w:val="555A0698"/>
    <w:rsid w:val="57CB3AC0"/>
    <w:rsid w:val="57DF74C8"/>
    <w:rsid w:val="587171D4"/>
    <w:rsid w:val="5A0E601E"/>
    <w:rsid w:val="5CC05ACE"/>
    <w:rsid w:val="5CED0442"/>
    <w:rsid w:val="5E0F6C51"/>
    <w:rsid w:val="5EE73473"/>
    <w:rsid w:val="65567629"/>
    <w:rsid w:val="67CA306C"/>
    <w:rsid w:val="6B1C4665"/>
    <w:rsid w:val="6CD56DDF"/>
    <w:rsid w:val="719D3657"/>
    <w:rsid w:val="71ED3F3B"/>
    <w:rsid w:val="744A73D7"/>
    <w:rsid w:val="7477288E"/>
    <w:rsid w:val="74F25123"/>
    <w:rsid w:val="753B738B"/>
    <w:rsid w:val="75C46902"/>
    <w:rsid w:val="7BFA259C"/>
    <w:rsid w:val="7DE910B5"/>
    <w:rsid w:val="7E2736E5"/>
    <w:rsid w:val="7E4D0B0A"/>
    <w:rsid w:val="7F0831FA"/>
    <w:rsid w:val="7F196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8">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rPr>
      <w:sz w:val="24"/>
      <w:szCs w:val="24"/>
    </w:rPr>
  </w:style>
  <w:style w:type="paragraph" w:styleId="4">
    <w:name w:val="Plain Text"/>
    <w:basedOn w:val="1"/>
    <w:qFormat/>
    <w:uiPriority w:val="0"/>
    <w:rPr>
      <w:rFonts w:ascii="宋体" w:hAnsi="Courier New"/>
      <w:szCs w:val="20"/>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character" w:styleId="9">
    <w:name w:val="Strong"/>
    <w:basedOn w:val="8"/>
    <w:qFormat/>
    <w:uiPriority w:val="0"/>
    <w:rPr>
      <w:b/>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2">
    <w:name w:val="页眉 Char"/>
    <w:basedOn w:val="8"/>
    <w:link w:val="6"/>
    <w:qFormat/>
    <w:uiPriority w:val="0"/>
    <w:rPr>
      <w:kern w:val="2"/>
      <w:sz w:val="18"/>
      <w:szCs w:val="18"/>
    </w:rPr>
  </w:style>
  <w:style w:type="character" w:customStyle="1" w:styleId="13">
    <w:name w:val="页脚 Char"/>
    <w:basedOn w:val="8"/>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600</Words>
  <Characters>3423</Characters>
  <Lines>28</Lines>
  <Paragraphs>8</Paragraphs>
  <TotalTime>1</TotalTime>
  <ScaleCrop>false</ScaleCrop>
  <LinksUpToDate>false</LinksUpToDate>
  <CharactersWithSpaces>4015</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2018-09-21T05:08:00Z</dcterms:created>
  <dc:creator>Administrator</dc:creator>
  <cp:lastModifiedBy>Administrator</cp:lastModifiedBy>
  <cp:lastPrinted>2017-12-21T06:21:00Z</cp:lastPrinted>
  <dcterms:modified xsi:type="dcterms:W3CDTF">2018-10-29T07:01:06Z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