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pBdr>
          <w:bottom w:val="single" w:color="EAEAEA" w:sz="6" w:space="0"/>
        </w:pBdr>
        <w:kinsoku/>
        <w:wordWrap/>
        <w:overflowPunct/>
        <w:topLinePunct w:val="0"/>
        <w:autoSpaceDE/>
        <w:autoSpaceDN/>
        <w:bidi w:val="0"/>
        <w:adjustRightInd/>
        <w:snapToGrid/>
        <w:spacing w:before="0" w:beforeAutospacing="0" w:after="0" w:afterAutospacing="0" w:line="660" w:lineRule="exact"/>
        <w:jc w:val="center"/>
        <w:textAlignment w:val="top"/>
        <w:outlineLvl w:val="0"/>
        <w:rPr>
          <w:rFonts w:hint="eastAsia" w:ascii="方正小标宋简体" w:hAnsi="方正小标宋简体" w:eastAsia="方正小标宋简体" w:cs="方正小标宋简体"/>
          <w:b w:val="0"/>
          <w:bCs/>
          <w:caps/>
          <w:color w:val="333333"/>
          <w:sz w:val="44"/>
          <w:szCs w:val="44"/>
        </w:rPr>
      </w:pPr>
      <w:r>
        <w:rPr>
          <w:rFonts w:hint="eastAsia" w:ascii="方正小标宋简体" w:hAnsi="方正小标宋简体" w:eastAsia="方正小标宋简体" w:cs="方正小标宋简体"/>
          <w:b w:val="0"/>
          <w:bCs/>
          <w:caps/>
          <w:color w:val="333333"/>
          <w:sz w:val="44"/>
          <w:szCs w:val="44"/>
        </w:rPr>
        <w:t>四川经准检验检测集团股份有限公司测绘分公司采购1辆</w:t>
      </w:r>
      <w:r>
        <w:rPr>
          <w:rFonts w:hint="eastAsia" w:ascii="方正小标宋简体" w:hAnsi="方正小标宋简体" w:eastAsia="方正小标宋简体" w:cs="方正小标宋简体"/>
          <w:b w:val="0"/>
          <w:bCs/>
          <w:caps/>
          <w:color w:val="333333"/>
          <w:sz w:val="44"/>
          <w:szCs w:val="44"/>
          <w:lang w:val="en-US" w:eastAsia="zh-CN"/>
        </w:rPr>
        <w:t>长城哈弗H6</w:t>
      </w:r>
      <w:r>
        <w:rPr>
          <w:rFonts w:hint="eastAsia" w:ascii="方正小标宋简体" w:hAnsi="方正小标宋简体" w:eastAsia="方正小标宋简体" w:cs="方正小标宋简体"/>
          <w:b w:val="0"/>
          <w:bCs/>
          <w:caps/>
          <w:color w:val="333333"/>
          <w:sz w:val="44"/>
          <w:szCs w:val="44"/>
        </w:rPr>
        <w:t>工程用车公告</w:t>
      </w:r>
    </w:p>
    <w:p>
      <w:pPr>
        <w:adjustRightInd w:val="0"/>
        <w:snapToGrid w:val="0"/>
        <w:spacing w:line="360" w:lineRule="auto"/>
        <w:ind w:firstLine="640" w:firstLineChars="200"/>
        <w:jc w:val="left"/>
        <w:rPr>
          <w:rFonts w:ascii="仿宋_GB2312" w:eastAsia="仿宋_GB2312"/>
          <w:color w:val="000000"/>
          <w:sz w:val="32"/>
          <w:szCs w:val="32"/>
        </w:rPr>
      </w:pP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根据相关法律法规的</w:t>
      </w:r>
      <w:bookmarkStart w:id="1" w:name="_GoBack"/>
      <w:bookmarkEnd w:id="1"/>
      <w:r>
        <w:rPr>
          <w:rFonts w:hint="eastAsia" w:ascii="方正仿宋简体" w:hAnsi="方正仿宋简体" w:eastAsia="方正仿宋简体" w:cs="方正仿宋简体"/>
          <w:color w:val="000000"/>
          <w:sz w:val="32"/>
          <w:szCs w:val="32"/>
        </w:rPr>
        <w:t>规定，四川经准检验检测集团股份有限公司测绘分公司委托西南联合产权交易所广安分所公开征集经营用车供应商。采购方承诺所提供的文件和材料内容合法、真实、准确、完整。现将有关事宜公告如下：</w:t>
      </w:r>
    </w:p>
    <w:p>
      <w:pPr>
        <w:pStyle w:val="2"/>
        <w:numPr>
          <w:ilvl w:val="0"/>
          <w:numId w:val="1"/>
        </w:numPr>
        <w:spacing w:line="58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采购项目基本情况</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（一）采购方名称：四川经准检验检测集团股份有限公司测绘分公司。</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（二）采购项目名称：四川经准检验检测集团股份有限公司测绘分公司采购1辆</w:t>
      </w:r>
      <w:r>
        <w:rPr>
          <w:rFonts w:hint="eastAsia" w:ascii="方正仿宋简体" w:hAnsi="方正仿宋简体" w:eastAsia="方正仿宋简体" w:cs="方正仿宋简体"/>
          <w:color w:val="000000"/>
          <w:sz w:val="32"/>
          <w:szCs w:val="32"/>
          <w:lang w:val="en-US" w:eastAsia="zh-CN"/>
        </w:rPr>
        <w:t>长城哈弗H6</w:t>
      </w:r>
      <w:r>
        <w:rPr>
          <w:rFonts w:hint="eastAsia" w:ascii="方正仿宋简体" w:hAnsi="方正仿宋简体" w:eastAsia="方正仿宋简体" w:cs="方正仿宋简体"/>
          <w:color w:val="000000"/>
          <w:sz w:val="32"/>
          <w:szCs w:val="32"/>
        </w:rPr>
        <w:t>工程用车。</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三）采购项目介绍：采购方为四川经准检验检测集团股份有限公司测绘分公司。按照四川经准检验检测集团股份有限公司测绘分公司部署要求，为进一步提高工作效率，缓解用车紧张的矛盾，更好地推进各项业务的有序开展。现需购置工程用车1辆。</w:t>
      </w:r>
    </w:p>
    <w:p>
      <w:pPr>
        <w:pStyle w:val="2"/>
        <w:spacing w:line="580" w:lineRule="exact"/>
        <w:ind w:left="420" w:leftChars="200" w:firstLine="321" w:firstLineChars="100"/>
        <w:rPr>
          <w:rFonts w:ascii="楷体" w:hAnsi="楷体" w:eastAsia="楷体" w:cs="楷体"/>
          <w:b/>
          <w:bCs/>
          <w:color w:val="000000"/>
          <w:sz w:val="32"/>
          <w:szCs w:val="32"/>
        </w:rPr>
      </w:pPr>
      <w:r>
        <w:rPr>
          <w:rFonts w:hint="eastAsia" w:ascii="楷体" w:hAnsi="楷体" w:eastAsia="楷体" w:cs="楷体"/>
          <w:b/>
          <w:bCs/>
          <w:color w:val="000000"/>
          <w:sz w:val="32"/>
          <w:szCs w:val="32"/>
        </w:rPr>
        <w:t>二、采购要求</w:t>
      </w:r>
    </w:p>
    <w:p>
      <w:pPr>
        <w:pStyle w:val="2"/>
        <w:spacing w:line="580" w:lineRule="exact"/>
        <w:ind w:firstLine="640" w:firstLineChars="200"/>
        <w:rPr>
          <w:rFonts w:hint="eastAsia" w:ascii="方正仿宋简体" w:hAnsi="方正仿宋简体" w:eastAsia="方正仿宋简体" w:cs="方正仿宋简体"/>
          <w:color w:val="000000"/>
          <w:kern w:val="2"/>
          <w:sz w:val="32"/>
          <w:szCs w:val="32"/>
          <w:lang w:val="en-US" w:eastAsia="zh-CN" w:bidi="ar-SA"/>
        </w:rPr>
      </w:pPr>
      <w:r>
        <w:rPr>
          <w:rFonts w:hint="eastAsia" w:ascii="方正仿宋简体" w:hAnsi="方正仿宋简体" w:eastAsia="方正仿宋简体" w:cs="方正仿宋简体"/>
          <w:color w:val="000000"/>
          <w:kern w:val="2"/>
          <w:sz w:val="32"/>
          <w:szCs w:val="32"/>
          <w:lang w:val="en-US" w:eastAsia="zh-CN" w:bidi="ar-SA"/>
        </w:rPr>
        <w:t>（一）采购内容</w:t>
      </w:r>
    </w:p>
    <w:tbl>
      <w:tblPr>
        <w:tblStyle w:val="7"/>
        <w:tblW w:w="9326" w:type="dxa"/>
        <w:jc w:val="center"/>
        <w:tblInd w:w="-6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6405"/>
        <w:gridCol w:w="660"/>
        <w:gridCol w:w="1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6" w:type="dxa"/>
            <w:vAlign w:val="top"/>
          </w:tcPr>
          <w:p>
            <w:pPr>
              <w:pStyle w:val="2"/>
              <w:spacing w:line="580" w:lineRule="exact"/>
              <w:jc w:val="center"/>
              <w:rPr>
                <w:rFonts w:ascii="宋体" w:hAnsi="宋体" w:eastAsia="宋体" w:cs="楷体"/>
                <w:bCs/>
                <w:color w:val="000000"/>
                <w:sz w:val="21"/>
                <w:szCs w:val="21"/>
              </w:rPr>
            </w:pPr>
            <w:r>
              <w:rPr>
                <w:rFonts w:hint="eastAsia" w:ascii="宋体" w:hAnsi="宋体" w:eastAsia="宋体" w:cs="楷体"/>
                <w:bCs/>
                <w:color w:val="000000"/>
                <w:sz w:val="21"/>
                <w:szCs w:val="21"/>
              </w:rPr>
              <w:t>序号</w:t>
            </w:r>
          </w:p>
        </w:tc>
        <w:tc>
          <w:tcPr>
            <w:tcW w:w="6405" w:type="dxa"/>
            <w:vAlign w:val="top"/>
          </w:tcPr>
          <w:p>
            <w:pPr>
              <w:pStyle w:val="2"/>
              <w:spacing w:line="580" w:lineRule="exact"/>
              <w:jc w:val="center"/>
              <w:rPr>
                <w:rFonts w:ascii="宋体" w:hAnsi="宋体" w:eastAsia="宋体" w:cs="楷体"/>
                <w:bCs/>
                <w:color w:val="000000"/>
                <w:sz w:val="21"/>
                <w:szCs w:val="21"/>
              </w:rPr>
            </w:pPr>
            <w:r>
              <w:rPr>
                <w:rFonts w:hint="eastAsia" w:ascii="宋体" w:hAnsi="宋体" w:eastAsia="宋体" w:cs="楷体"/>
                <w:bCs/>
                <w:color w:val="000000"/>
                <w:sz w:val="21"/>
                <w:szCs w:val="21"/>
              </w:rPr>
              <w:t>车辆品牌及型号</w:t>
            </w:r>
          </w:p>
        </w:tc>
        <w:tc>
          <w:tcPr>
            <w:tcW w:w="660" w:type="dxa"/>
            <w:vAlign w:val="top"/>
          </w:tcPr>
          <w:p>
            <w:pPr>
              <w:pStyle w:val="2"/>
              <w:spacing w:line="580" w:lineRule="exact"/>
              <w:rPr>
                <w:rFonts w:ascii="宋体" w:hAnsi="宋体" w:eastAsia="宋体" w:cs="楷体"/>
                <w:bCs/>
                <w:color w:val="000000"/>
                <w:sz w:val="21"/>
                <w:szCs w:val="21"/>
              </w:rPr>
            </w:pPr>
            <w:r>
              <w:rPr>
                <w:rFonts w:hint="eastAsia" w:ascii="宋体" w:hAnsi="宋体" w:eastAsia="宋体" w:cs="楷体"/>
                <w:bCs/>
                <w:color w:val="000000"/>
                <w:sz w:val="21"/>
                <w:szCs w:val="21"/>
              </w:rPr>
              <w:t>数量</w:t>
            </w:r>
          </w:p>
        </w:tc>
        <w:tc>
          <w:tcPr>
            <w:tcW w:w="1545" w:type="dxa"/>
            <w:vAlign w:val="top"/>
          </w:tcPr>
          <w:p>
            <w:pPr>
              <w:pStyle w:val="2"/>
              <w:spacing w:line="580" w:lineRule="exact"/>
              <w:rPr>
                <w:rFonts w:ascii="宋体" w:hAnsi="宋体" w:eastAsia="宋体" w:cs="楷体"/>
                <w:bCs/>
                <w:color w:val="000000"/>
                <w:sz w:val="21"/>
                <w:szCs w:val="21"/>
              </w:rPr>
            </w:pPr>
            <w:r>
              <w:rPr>
                <w:rFonts w:hint="eastAsia" w:ascii="宋体" w:hAnsi="宋体" w:eastAsia="宋体" w:cs="楷体"/>
                <w:bCs/>
                <w:color w:val="000000"/>
                <w:sz w:val="21"/>
                <w:szCs w:val="21"/>
              </w:rPr>
              <w:t>采购预算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6" w:type="dxa"/>
            <w:vAlign w:val="top"/>
          </w:tcPr>
          <w:p>
            <w:pPr>
              <w:pStyle w:val="2"/>
              <w:spacing w:line="580" w:lineRule="exact"/>
              <w:jc w:val="center"/>
              <w:rPr>
                <w:rFonts w:ascii="宋体" w:hAnsi="宋体" w:eastAsia="宋体" w:cs="楷体"/>
                <w:bCs/>
                <w:color w:val="000000"/>
                <w:sz w:val="21"/>
                <w:szCs w:val="21"/>
              </w:rPr>
            </w:pPr>
            <w:r>
              <w:rPr>
                <w:rFonts w:hint="eastAsia" w:ascii="宋体" w:hAnsi="宋体" w:eastAsia="宋体" w:cs="楷体"/>
                <w:bCs/>
                <w:color w:val="000000"/>
                <w:sz w:val="21"/>
                <w:szCs w:val="21"/>
              </w:rPr>
              <w:t>1</w:t>
            </w:r>
          </w:p>
        </w:tc>
        <w:tc>
          <w:tcPr>
            <w:tcW w:w="6405" w:type="dxa"/>
            <w:vAlign w:val="top"/>
          </w:tcPr>
          <w:p>
            <w:pPr>
              <w:pStyle w:val="2"/>
              <w:spacing w:line="580" w:lineRule="exact"/>
              <w:rPr>
                <w:rFonts w:hint="eastAsia" w:ascii="宋体" w:hAnsi="宋体" w:eastAsia="宋体" w:cs="楷体"/>
                <w:bCs/>
                <w:color w:val="000000"/>
                <w:sz w:val="21"/>
                <w:szCs w:val="21"/>
                <w:lang w:val="en-US" w:eastAsia="zh-CN"/>
              </w:rPr>
            </w:pPr>
            <w:r>
              <w:rPr>
                <w:rFonts w:hint="eastAsia" w:ascii="宋体" w:hAnsi="宋体" w:eastAsia="宋体" w:cs="楷体"/>
                <w:bCs/>
                <w:color w:val="000000"/>
                <w:sz w:val="21"/>
                <w:szCs w:val="21"/>
              </w:rPr>
              <w:t>长城汽车-哈弗H6 2018款</w:t>
            </w:r>
            <w:r>
              <w:rPr>
                <w:rFonts w:hint="eastAsia" w:ascii="宋体" w:hAnsi="宋体" w:eastAsia="宋体" w:cs="楷体"/>
                <w:bCs/>
                <w:color w:val="000000"/>
                <w:sz w:val="21"/>
                <w:szCs w:val="21"/>
                <w:lang w:val="en-US" w:eastAsia="zh-CN"/>
              </w:rPr>
              <w:t xml:space="preserve"> 红标 运动版1.5T 自动两驱尊贵型</w:t>
            </w:r>
          </w:p>
        </w:tc>
        <w:tc>
          <w:tcPr>
            <w:tcW w:w="660" w:type="dxa"/>
            <w:vAlign w:val="top"/>
          </w:tcPr>
          <w:p>
            <w:pPr>
              <w:pStyle w:val="2"/>
              <w:spacing w:line="580" w:lineRule="exact"/>
              <w:rPr>
                <w:rFonts w:ascii="宋体" w:hAnsi="宋体" w:eastAsia="宋体" w:cs="楷体"/>
                <w:bCs/>
                <w:color w:val="000000"/>
                <w:sz w:val="21"/>
                <w:szCs w:val="21"/>
              </w:rPr>
            </w:pPr>
            <w:r>
              <w:rPr>
                <w:rFonts w:hint="eastAsia" w:ascii="宋体" w:hAnsi="宋体" w:eastAsia="宋体" w:cs="楷体"/>
                <w:bCs/>
                <w:color w:val="000000"/>
                <w:sz w:val="21"/>
                <w:szCs w:val="21"/>
              </w:rPr>
              <w:t>1辆</w:t>
            </w:r>
          </w:p>
        </w:tc>
        <w:tc>
          <w:tcPr>
            <w:tcW w:w="1545" w:type="dxa"/>
            <w:vAlign w:val="top"/>
          </w:tcPr>
          <w:p>
            <w:pPr>
              <w:pStyle w:val="2"/>
              <w:spacing w:line="580" w:lineRule="exact"/>
              <w:rPr>
                <w:rFonts w:ascii="宋体" w:hAnsi="宋体" w:eastAsia="宋体" w:cs="楷体"/>
                <w:bCs/>
                <w:color w:val="000000"/>
                <w:sz w:val="21"/>
                <w:szCs w:val="21"/>
              </w:rPr>
            </w:pPr>
            <w:r>
              <w:rPr>
                <w:rFonts w:hint="eastAsia" w:ascii="宋体" w:hAnsi="宋体" w:eastAsia="宋体" w:cs="楷体"/>
                <w:bCs/>
                <w:color w:val="000000"/>
                <w:sz w:val="21"/>
                <w:szCs w:val="21"/>
                <w:lang w:val="en-US" w:eastAsia="zh-CN"/>
              </w:rPr>
              <w:t>12.5</w:t>
            </w:r>
            <w:r>
              <w:rPr>
                <w:rFonts w:hint="eastAsia" w:ascii="宋体" w:hAnsi="宋体" w:eastAsia="宋体" w:cs="楷体"/>
                <w:bCs/>
                <w:color w:val="000000"/>
                <w:sz w:val="21"/>
                <w:szCs w:val="21"/>
              </w:rPr>
              <w:t>万元</w:t>
            </w:r>
            <w:r>
              <w:rPr>
                <w:rFonts w:ascii="宋体" w:hAnsi="宋体" w:eastAsia="宋体" w:cs="楷体"/>
                <w:bCs/>
                <w:color w:val="000000"/>
                <w:sz w:val="21"/>
                <w:szCs w:val="21"/>
              </w:rPr>
              <w:t>/</w:t>
            </w:r>
            <w:r>
              <w:rPr>
                <w:rFonts w:hint="eastAsia" w:ascii="宋体" w:hAnsi="宋体" w:eastAsia="宋体" w:cs="楷体"/>
                <w:bCs/>
                <w:color w:val="000000"/>
                <w:sz w:val="21"/>
                <w:szCs w:val="21"/>
              </w:rPr>
              <w:t>辆</w:t>
            </w:r>
          </w:p>
        </w:tc>
      </w:tr>
    </w:tbl>
    <w:p>
      <w:pPr>
        <w:pStyle w:val="2"/>
        <w:spacing w:line="580" w:lineRule="exact"/>
        <w:ind w:firstLine="640" w:firstLineChars="200"/>
        <w:rPr>
          <w:rFonts w:hint="eastAsia" w:ascii="楷体" w:hAnsi="楷体" w:eastAsia="楷体" w:cs="楷体"/>
          <w:b/>
          <w:bCs/>
          <w:color w:val="000000"/>
          <w:sz w:val="32"/>
          <w:szCs w:val="32"/>
        </w:rPr>
      </w:pPr>
      <w:r>
        <w:rPr>
          <w:rFonts w:hint="eastAsia" w:ascii="方正仿宋简体" w:hAnsi="方正仿宋简体" w:eastAsia="方正仿宋简体" w:cs="方正仿宋简体"/>
          <w:color w:val="000000"/>
          <w:kern w:val="2"/>
          <w:sz w:val="32"/>
          <w:szCs w:val="32"/>
          <w:lang w:val="en-US" w:eastAsia="zh-CN" w:bidi="ar-SA"/>
        </w:rPr>
        <w:t>(二）本次采购项目总报价不得高于12.5万元</w:t>
      </w:r>
      <w:r>
        <w:rPr>
          <w:rFonts w:hint="eastAsia" w:ascii="楷体" w:hAnsi="楷体" w:eastAsia="楷体" w:cs="楷体"/>
          <w:b/>
          <w:bCs/>
          <w:color w:val="000000"/>
          <w:sz w:val="32"/>
          <w:szCs w:val="32"/>
        </w:rPr>
        <w:t>；</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注：以上报价包括车辆购置税</w:t>
      </w:r>
      <w:r>
        <w:rPr>
          <w:rFonts w:hint="eastAsia" w:ascii="方正仿宋简体" w:hAnsi="方正仿宋简体" w:eastAsia="方正仿宋简体" w:cs="方正仿宋简体"/>
          <w:color w:val="000000"/>
          <w:sz w:val="32"/>
          <w:szCs w:val="32"/>
          <w:lang w:val="en-US" w:eastAsia="zh-CN"/>
        </w:rPr>
        <w:t>(购置税完税凭证)</w:t>
      </w:r>
      <w:r>
        <w:rPr>
          <w:rFonts w:hint="eastAsia" w:ascii="方正仿宋简体" w:hAnsi="方正仿宋简体" w:eastAsia="方正仿宋简体" w:cs="方正仿宋简体"/>
          <w:color w:val="000000"/>
          <w:sz w:val="32"/>
          <w:szCs w:val="32"/>
          <w:lang w:eastAsia="zh-CN"/>
        </w:rPr>
        <w:t>、</w:t>
      </w:r>
      <w:r>
        <w:rPr>
          <w:rFonts w:hint="eastAsia" w:ascii="方正仿宋简体" w:hAnsi="方正仿宋简体" w:eastAsia="方正仿宋简体" w:cs="方正仿宋简体"/>
          <w:color w:val="000000"/>
          <w:sz w:val="32"/>
          <w:szCs w:val="32"/>
        </w:rPr>
        <w:t>发票为16%</w:t>
      </w:r>
      <w:r>
        <w:rPr>
          <w:rFonts w:hint="eastAsia" w:ascii="方正仿宋简体" w:hAnsi="方正仿宋简体" w:eastAsia="方正仿宋简体" w:cs="方正仿宋简体"/>
          <w:color w:val="000000"/>
          <w:sz w:val="32"/>
          <w:szCs w:val="32"/>
          <w:lang w:eastAsia="zh-CN"/>
        </w:rPr>
        <w:t>机动车销售统一发票</w:t>
      </w:r>
      <w:r>
        <w:rPr>
          <w:rFonts w:hint="eastAsia" w:ascii="方正仿宋简体" w:hAnsi="方正仿宋简体" w:eastAsia="方正仿宋简体" w:cs="方正仿宋简体"/>
          <w:color w:val="000000"/>
          <w:sz w:val="32"/>
          <w:szCs w:val="32"/>
        </w:rPr>
        <w:t>、车辆牌照费用、第一年车辆保险费用（第一年车辆保险费用不低于7000元</w:t>
      </w:r>
      <w:r>
        <w:rPr>
          <w:rFonts w:hint="eastAsia" w:ascii="方正仿宋简体" w:hAnsi="方正仿宋简体" w:eastAsia="方正仿宋简体" w:cs="方正仿宋简体"/>
          <w:color w:val="000000"/>
          <w:sz w:val="32"/>
          <w:szCs w:val="32"/>
          <w:lang w:eastAsia="zh-CN"/>
        </w:rPr>
        <w:t>，发票为四川增值税专用发票</w:t>
      </w:r>
      <w:r>
        <w:rPr>
          <w:rFonts w:hint="eastAsia" w:ascii="方正仿宋简体" w:hAnsi="方正仿宋简体" w:eastAsia="方正仿宋简体" w:cs="方正仿宋简体"/>
          <w:color w:val="000000"/>
          <w:sz w:val="32"/>
          <w:szCs w:val="32"/>
        </w:rPr>
        <w:t>）</w:t>
      </w:r>
      <w:r>
        <w:rPr>
          <w:rFonts w:hint="eastAsia" w:ascii="方正仿宋简体" w:hAnsi="方正仿宋简体" w:eastAsia="方正仿宋简体" w:cs="方正仿宋简体"/>
          <w:color w:val="000000"/>
          <w:sz w:val="32"/>
          <w:szCs w:val="32"/>
          <w:lang w:eastAsia="zh-CN"/>
        </w:rPr>
        <w:t>、</w:t>
      </w:r>
      <w:r>
        <w:rPr>
          <w:rFonts w:hint="eastAsia" w:ascii="方正仿宋简体" w:hAnsi="方正仿宋简体" w:eastAsia="方正仿宋简体" w:cs="方正仿宋简体"/>
          <w:color w:val="000000"/>
          <w:sz w:val="32"/>
          <w:szCs w:val="32"/>
        </w:rPr>
        <w:t>车膜、脚垫、行车记录仪等配套物品不低于3000元</w:t>
      </w:r>
      <w:r>
        <w:rPr>
          <w:rFonts w:hint="eastAsia" w:ascii="方正仿宋简体" w:hAnsi="方正仿宋简体" w:eastAsia="方正仿宋简体" w:cs="方正仿宋简体"/>
          <w:color w:val="000000"/>
          <w:sz w:val="32"/>
          <w:szCs w:val="32"/>
          <w:lang w:eastAsia="zh-CN"/>
        </w:rPr>
        <w:t>（发票为普通增值税发票）</w:t>
      </w:r>
      <w:r>
        <w:rPr>
          <w:rFonts w:hint="eastAsia" w:ascii="方正仿宋简体" w:hAnsi="方正仿宋简体" w:eastAsia="方正仿宋简体" w:cs="方正仿宋简体"/>
          <w:color w:val="000000"/>
          <w:sz w:val="32"/>
          <w:szCs w:val="32"/>
        </w:rPr>
        <w:t>。</w:t>
      </w:r>
    </w:p>
    <w:p>
      <w:pPr>
        <w:pStyle w:val="2"/>
        <w:spacing w:line="580" w:lineRule="exact"/>
        <w:ind w:firstLine="640" w:firstLineChars="200"/>
        <w:rPr>
          <w:rFonts w:hint="eastAsia" w:ascii="方正仿宋简体" w:hAnsi="方正仿宋简体" w:eastAsia="方正仿宋简体" w:cs="方正仿宋简体"/>
          <w:color w:val="000000"/>
          <w:kern w:val="2"/>
          <w:sz w:val="32"/>
          <w:szCs w:val="32"/>
          <w:lang w:val="en-US" w:eastAsia="zh-CN" w:bidi="ar-SA"/>
        </w:rPr>
      </w:pPr>
      <w:r>
        <w:rPr>
          <w:rFonts w:hint="eastAsia" w:ascii="方正仿宋简体" w:hAnsi="方正仿宋简体" w:eastAsia="方正仿宋简体" w:cs="方正仿宋简体"/>
          <w:color w:val="000000"/>
          <w:kern w:val="2"/>
          <w:sz w:val="32"/>
          <w:szCs w:val="32"/>
          <w:lang w:val="en-US" w:eastAsia="zh-CN" w:bidi="ar-SA"/>
        </w:rPr>
        <w:t>（三）采购详细参数需求</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lang w:eastAsia="zh-CN"/>
        </w:rPr>
        <w:t>长城汽车-哈弗H6 2018款</w:t>
      </w:r>
      <w:r>
        <w:rPr>
          <w:rFonts w:hint="eastAsia" w:ascii="方正仿宋简体" w:hAnsi="方正仿宋简体" w:eastAsia="方正仿宋简体" w:cs="方正仿宋简体"/>
          <w:color w:val="000000"/>
          <w:sz w:val="32"/>
          <w:szCs w:val="32"/>
          <w:lang w:val="en-US" w:eastAsia="zh-CN"/>
        </w:rPr>
        <w:t xml:space="preserve"> 红标 运动版1.5T 自动两驱尊贵型</w:t>
      </w:r>
      <w:r>
        <w:rPr>
          <w:rFonts w:hint="eastAsia" w:ascii="方正仿宋简体" w:hAnsi="方正仿宋简体" w:eastAsia="方正仿宋简体" w:cs="方正仿宋简体"/>
          <w:color w:val="000000"/>
          <w:sz w:val="32"/>
          <w:szCs w:val="32"/>
        </w:rPr>
        <w:t>【点击下载】。</w:t>
      </w:r>
    </w:p>
    <w:p>
      <w:pPr>
        <w:adjustRightInd w:val="0"/>
        <w:snapToGrid w:val="0"/>
        <w:spacing w:line="580" w:lineRule="exact"/>
        <w:ind w:firstLine="643" w:firstLineChars="200"/>
        <w:jc w:val="left"/>
        <w:rPr>
          <w:rFonts w:ascii="楷体" w:hAnsi="楷体" w:eastAsia="楷体" w:cs="楷体"/>
          <w:b/>
          <w:bCs/>
          <w:color w:val="000000"/>
          <w:sz w:val="32"/>
          <w:szCs w:val="32"/>
        </w:rPr>
      </w:pPr>
      <w:r>
        <w:rPr>
          <w:rFonts w:hint="eastAsia" w:ascii="楷体" w:hAnsi="楷体" w:eastAsia="楷体" w:cs="楷体"/>
          <w:b/>
          <w:bCs/>
          <w:color w:val="000000"/>
          <w:sz w:val="32"/>
          <w:szCs w:val="32"/>
        </w:rPr>
        <w:t>三、中选规则</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（一）首次公告期限：2018年</w:t>
      </w:r>
      <w:r>
        <w:rPr>
          <w:rFonts w:hint="eastAsia" w:ascii="方正仿宋简体" w:hAnsi="方正仿宋简体" w:eastAsia="方正仿宋简体" w:cs="方正仿宋简体"/>
          <w:color w:val="000000"/>
          <w:sz w:val="32"/>
          <w:szCs w:val="32"/>
          <w:lang w:val="en-US" w:eastAsia="zh-CN"/>
        </w:rPr>
        <w:t>11</w:t>
      </w:r>
      <w:r>
        <w:rPr>
          <w:rFonts w:hint="eastAsia" w:ascii="方正仿宋简体" w:hAnsi="方正仿宋简体" w:eastAsia="方正仿宋简体" w:cs="方正仿宋简体"/>
          <w:color w:val="000000"/>
          <w:sz w:val="32"/>
          <w:szCs w:val="32"/>
        </w:rPr>
        <w:t>月</w:t>
      </w:r>
      <w:r>
        <w:rPr>
          <w:rFonts w:hint="eastAsia" w:ascii="方正仿宋简体" w:hAnsi="方正仿宋简体" w:eastAsia="方正仿宋简体" w:cs="方正仿宋简体"/>
          <w:color w:val="000000"/>
          <w:sz w:val="32"/>
          <w:szCs w:val="32"/>
          <w:lang w:val="en-US" w:eastAsia="zh-CN"/>
        </w:rPr>
        <w:t>22</w:t>
      </w:r>
      <w:r>
        <w:rPr>
          <w:rFonts w:hint="eastAsia" w:ascii="方正仿宋简体" w:hAnsi="方正仿宋简体" w:eastAsia="方正仿宋简体" w:cs="方正仿宋简体"/>
          <w:color w:val="000000"/>
          <w:sz w:val="32"/>
          <w:szCs w:val="32"/>
        </w:rPr>
        <w:t>日—2018年</w:t>
      </w:r>
      <w:r>
        <w:rPr>
          <w:rFonts w:hint="eastAsia" w:ascii="方正仿宋简体" w:hAnsi="方正仿宋简体" w:eastAsia="方正仿宋简体" w:cs="方正仿宋简体"/>
          <w:color w:val="000000"/>
          <w:sz w:val="32"/>
          <w:szCs w:val="32"/>
          <w:lang w:val="en-US" w:eastAsia="zh-CN"/>
        </w:rPr>
        <w:t>11</w:t>
      </w:r>
      <w:r>
        <w:rPr>
          <w:rFonts w:hint="eastAsia" w:ascii="方正仿宋简体" w:hAnsi="方正仿宋简体" w:eastAsia="方正仿宋简体" w:cs="方正仿宋简体"/>
          <w:color w:val="000000"/>
          <w:sz w:val="32"/>
          <w:szCs w:val="32"/>
        </w:rPr>
        <w:t>月</w:t>
      </w:r>
      <w:r>
        <w:rPr>
          <w:rFonts w:hint="eastAsia" w:ascii="方正仿宋简体" w:hAnsi="方正仿宋简体" w:eastAsia="方正仿宋简体" w:cs="方正仿宋简体"/>
          <w:color w:val="000000"/>
          <w:sz w:val="32"/>
          <w:szCs w:val="32"/>
          <w:lang w:val="en-US" w:eastAsia="zh-CN"/>
        </w:rPr>
        <w:t>28</w:t>
      </w:r>
      <w:r>
        <w:rPr>
          <w:rFonts w:hint="eastAsia" w:ascii="方正仿宋简体" w:hAnsi="方正仿宋简体" w:eastAsia="方正仿宋简体" w:cs="方正仿宋简体"/>
          <w:color w:val="000000"/>
          <w:sz w:val="32"/>
          <w:szCs w:val="32"/>
        </w:rPr>
        <w:t>日止。</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1.公告期满，如未征集到意向供应商或只征集到一家或二家意向供应商，则不变更挂牌条件，按5个工作日为一个周期延长信息发布，直至征集到三家或三家以上意向供应商，最多延长10个周期。</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2.公告期满，如征集到三家及三家以上意向供应商，则通过网络竞价的方式，价低者中。</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（二）根据本公告和西南联合产权交易所交易规则，西南联合产权交易所广安分所在公告期内，接受意向供应商报名材料。采购方四川经准检验检测集团股份有限公司测绘分公司对意向供货商的资料进行确认。</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（三）西南联合产权交易所广安分所组织竞价。</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（四）供应商确定后，西南联合产权交易所在3个工作日内向其发出中选通知书。</w:t>
      </w:r>
    </w:p>
    <w:p>
      <w:pPr>
        <w:adjustRightInd w:val="0"/>
        <w:snapToGrid w:val="0"/>
        <w:spacing w:line="580" w:lineRule="exact"/>
        <w:ind w:firstLine="643" w:firstLineChars="200"/>
        <w:jc w:val="left"/>
        <w:rPr>
          <w:rFonts w:ascii="楷体" w:hAnsi="楷体" w:eastAsia="楷体" w:cs="楷体"/>
          <w:b/>
          <w:bCs/>
          <w:color w:val="000000"/>
          <w:sz w:val="32"/>
          <w:szCs w:val="32"/>
        </w:rPr>
      </w:pPr>
      <w:r>
        <w:rPr>
          <w:rFonts w:hint="eastAsia" w:ascii="楷体" w:hAnsi="楷体" w:eastAsia="楷体" w:cs="楷体"/>
          <w:b/>
          <w:bCs/>
          <w:color w:val="000000"/>
          <w:sz w:val="32"/>
          <w:szCs w:val="32"/>
        </w:rPr>
        <w:t>四、报名条件</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（一）在中国境内合法存续，且具备本次采购项目经营范围的企业法人，（汽车经销商或汽车生产厂家）。</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（二）意向供应方报名时需交纳交易保证金 1 万元。</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（三）国家法律、行政法规规定的其它条件。</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（四）意向供应方应在公告期内办理报名手续，并在公告到期日17:00前交纳保证金至交易所指定账户。</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账号名称：西南联合产权交易所有限责任公司广安分所</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开户银行：中国银行股份有限公司广安分行</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账号：119905520004</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（五）意向供应方报名时需提供如下资料：</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（1）主体资格类资料：企业法人营业执照、法定代表人身份证复印件、授权委托书、经办人身份证原件及复印件。</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（2）其他类：意向</w:t>
      </w:r>
      <w:r>
        <w:rPr>
          <w:rFonts w:hint="eastAsia" w:ascii="方正仿宋简体" w:hAnsi="方正仿宋简体" w:eastAsia="方正仿宋简体" w:cs="方正仿宋简体"/>
          <w:color w:val="000000"/>
          <w:sz w:val="32"/>
          <w:szCs w:val="32"/>
          <w:lang w:val="en-US" w:eastAsia="zh-CN"/>
        </w:rPr>
        <w:t>供应</w:t>
      </w:r>
      <w:r>
        <w:rPr>
          <w:rFonts w:hint="eastAsia" w:ascii="方正仿宋简体" w:hAnsi="方正仿宋简体" w:eastAsia="方正仿宋简体" w:cs="方正仿宋简体"/>
          <w:color w:val="000000"/>
          <w:sz w:val="32"/>
          <w:szCs w:val="32"/>
        </w:rPr>
        <w:t>申请书。</w:t>
      </w:r>
    </w:p>
    <w:p>
      <w:pPr>
        <w:pStyle w:val="2"/>
        <w:rPr>
          <w:rFonts w:eastAsia="方正仿宋简体"/>
        </w:rPr>
      </w:pPr>
      <w:r>
        <w:rPr>
          <w:rFonts w:hint="eastAsia" w:ascii="方正仿宋简体" w:hAnsi="方正仿宋简体" w:eastAsia="方正仿宋简体" w:cs="方正仿宋简体"/>
          <w:color w:val="000000"/>
          <w:sz w:val="32"/>
          <w:szCs w:val="32"/>
        </w:rPr>
        <w:t xml:space="preserve">    （3）保证金缴纳凭证复印件。</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（六）本项目不接受联合体报名。</w:t>
      </w:r>
    </w:p>
    <w:p>
      <w:pPr>
        <w:adjustRightInd w:val="0"/>
        <w:snapToGrid w:val="0"/>
        <w:spacing w:line="580" w:lineRule="exact"/>
        <w:ind w:firstLine="643" w:firstLineChars="200"/>
        <w:jc w:val="left"/>
        <w:rPr>
          <w:rFonts w:ascii="楷体" w:hAnsi="楷体" w:eastAsia="楷体" w:cs="楷体"/>
          <w:b/>
          <w:bCs/>
          <w:color w:val="000000"/>
          <w:sz w:val="32"/>
          <w:szCs w:val="32"/>
        </w:rPr>
      </w:pPr>
      <w:r>
        <w:rPr>
          <w:rFonts w:hint="eastAsia" w:ascii="楷体" w:hAnsi="楷体" w:eastAsia="楷体" w:cs="楷体"/>
          <w:b/>
          <w:bCs/>
          <w:color w:val="000000"/>
          <w:sz w:val="32"/>
          <w:szCs w:val="32"/>
        </w:rPr>
        <w:t>五、交货时间、价款结算及验收</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1.交货期限：在合同签订次日起15日内完成，并提供货物的附属产品（如车辆使用说明书、合格证等）。</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2.验收由采购方组织，供应商配合进行：</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（1）供应商全部产品安装、调试、集成完毕后，进入 7日试用期；试用期间发生重大质量问题，试用期间相应顺延；试用期结束后3个工作日内完成最终验收，供应商应出具最终验收报告；</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2）验收标准：按国家有关规定、采购文件的质量要求和技术指标、供应商的相应文件及承诺以及采购合同约定标准进行验收；采购方和供应商如对质量要求和技术指标的约定标准存在相互抵触或异议，由采购方在采购相应的文件中按质量要求和技术指标比较优胜的原则确定该项的约定标准进行验收；</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3）验收时如发现所交付的产品不符合标准及采购合同规定之情形，采购方应做出详尽的现场记录，或由采购方、供应商双方签署备忘录，此现场记录或备忘录可用作补充、缺失和更换损坏部件的有效证据，由此产生的时间延误与有关费用由供应商承担，验收期限相应顺延；</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（4）如质量验收合格，双方签署质量验收报告。并在验收合格次日起10个工作日内付清款项。</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3.产品安装调试、集成完毕后7日内，采购方无故不进行验收工作并已使用产品的，视同已验收合格。</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4.供应商应将所提供产品知识产权的文本、图纸等资料交付给采购方；供应商不能完整交付产品及本款规定的资料的，必须负责补齐，否则视为未按合同约定交货。</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5.产品不能达到国家有关规定、采购文件的质量要求和技术指标、供应商的相应文件及承诺以及采购合同约定的质量标准，采购方有权拒绝接收，并视作供应商不能交付而须支付违约赔偿金给采购方，采购方有权依法追究供货商的违约责任。</w:t>
      </w:r>
    </w:p>
    <w:p>
      <w:pPr>
        <w:adjustRightInd w:val="0"/>
        <w:snapToGrid w:val="0"/>
        <w:spacing w:line="580" w:lineRule="exact"/>
        <w:ind w:firstLine="643" w:firstLineChars="200"/>
        <w:jc w:val="left"/>
        <w:rPr>
          <w:rFonts w:ascii="楷体" w:hAnsi="楷体" w:eastAsia="楷体" w:cs="楷体"/>
          <w:b/>
          <w:bCs/>
          <w:color w:val="000000"/>
          <w:sz w:val="32"/>
          <w:szCs w:val="32"/>
        </w:rPr>
      </w:pPr>
      <w:r>
        <w:rPr>
          <w:rFonts w:hint="eastAsia" w:ascii="楷体" w:hAnsi="楷体" w:eastAsia="楷体" w:cs="楷体"/>
          <w:b/>
          <w:bCs/>
          <w:color w:val="000000"/>
          <w:sz w:val="32"/>
          <w:szCs w:val="32"/>
        </w:rPr>
        <w:t>六、售后服务事宜</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一）售后服务：供应商须指派专人负责与采购方联系售后服务事宜，供应商须如实填写售后服务承诺，按照国家“三包”规定及相关行业规定实行质量保证。质保期内非人为损坏，供应商须免费维修或更换有质量问题的商品或部件。对人为损坏或其它不可抗拒的外部环境损坏部份，只按厂价收实际的材料费。</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（二）质保期内出现质量问题，供应商在接到通知后 24小时内响应到场，若因距离远，无法及时到达，需说明原因并积极联系就近维修店进行施救。48小时内完成维修或更换，并承担修理调换的费用；如产品不能达到本合同约定的质量标准，采购方有权退货并追究供应商的违约责任。</w:t>
      </w:r>
    </w:p>
    <w:p>
      <w:pPr>
        <w:pStyle w:val="4"/>
        <w:spacing w:line="580" w:lineRule="exact"/>
        <w:ind w:firstLine="643" w:firstLineChars="200"/>
        <w:rPr>
          <w:rFonts w:ascii="仿宋_GB2312" w:hAnsi="Ђˎ̥" w:eastAsia="仿宋_GB2312" w:cs="宋体"/>
          <w:b/>
          <w:bCs/>
          <w:color w:val="000000"/>
          <w:kern w:val="0"/>
          <w:sz w:val="32"/>
          <w:szCs w:val="32"/>
        </w:rPr>
      </w:pPr>
      <w:r>
        <w:rPr>
          <w:rFonts w:hint="eastAsia" w:ascii="楷体" w:hAnsi="楷体" w:eastAsia="楷体" w:cs="楷体"/>
          <w:b/>
          <w:bCs/>
          <w:color w:val="000000"/>
          <w:sz w:val="32"/>
          <w:szCs w:val="32"/>
        </w:rPr>
        <w:t>七、交易保证金处置办法</w:t>
      </w:r>
    </w:p>
    <w:p>
      <w:pPr>
        <w:pStyle w:val="4"/>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（一）采取网络竞价（逆向竞价）方式，意向供应商资格一经确认，其交纳的交易保证金自动转为竞价保证金。</w:t>
      </w:r>
    </w:p>
    <w:p>
      <w:pPr>
        <w:pStyle w:val="4"/>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（二）若意向</w:t>
      </w:r>
      <w:bookmarkStart w:id="0" w:name="OLE_LINK1"/>
      <w:r>
        <w:rPr>
          <w:rFonts w:hint="eastAsia" w:ascii="方正仿宋简体" w:hAnsi="方正仿宋简体" w:eastAsia="方正仿宋简体" w:cs="方正仿宋简体"/>
          <w:color w:val="000000"/>
          <w:sz w:val="32"/>
          <w:szCs w:val="32"/>
        </w:rPr>
        <w:t>供应商</w:t>
      </w:r>
      <w:bookmarkEnd w:id="0"/>
      <w:r>
        <w:rPr>
          <w:rFonts w:hint="eastAsia" w:ascii="方正仿宋简体" w:hAnsi="方正仿宋简体" w:eastAsia="方正仿宋简体" w:cs="方正仿宋简体"/>
          <w:color w:val="000000"/>
          <w:sz w:val="32"/>
          <w:szCs w:val="32"/>
        </w:rPr>
        <w:t>确定为最终供应商，该保证金在扣除应当支付给西南联合产权交易所的经纪代理服务费后，剩余部分转为履约保证金由西南联合产权交易所划转至采购方指定账户；若意向供应商未成功竞得该交易标的，西南联合产权交易所将按原渠道无息退还保证金。</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（三）保证金缴纳及处置方法：</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供货商在收到中标通知书次日起凭缴款凭证及中标通知书在3个工作日内与采购方（四川经准检验检测集团股份有限公司测绘分公司）签订合同。签订合同次日起在10个工作日内原渠道无息退还履约保证金。若因供应商原因，未在3个工作日内签订合同，则视为自动放弃中选资格，所缴纳的保证金不予退还。采购方有权重新挂牌公开征集供应商。</w:t>
      </w:r>
      <w:r>
        <w:rPr>
          <w:rFonts w:hint="eastAsia" w:ascii="方正仿宋简体" w:hAnsi="方正仿宋简体" w:eastAsia="方正仿宋简体" w:cs="方正仿宋简体"/>
          <w:color w:val="000000"/>
          <w:sz w:val="32"/>
          <w:szCs w:val="32"/>
        </w:rPr>
        <w:br w:type="textWrapping"/>
      </w:r>
      <w:r>
        <w:rPr>
          <w:rFonts w:hint="eastAsia" w:ascii="仿宋_GB2312" w:hAnsi="Ђˎ̥" w:eastAsia="仿宋_GB2312" w:cs="宋体"/>
          <w:color w:val="000000"/>
          <w:kern w:val="0"/>
          <w:sz w:val="32"/>
          <w:szCs w:val="32"/>
        </w:rPr>
        <w:t xml:space="preserve">   </w:t>
      </w:r>
      <w:r>
        <w:rPr>
          <w:rFonts w:hint="eastAsia" w:ascii="方正仿宋简体" w:hAnsi="方正仿宋简体" w:eastAsia="方正仿宋简体" w:cs="方正仿宋简体"/>
          <w:color w:val="000000"/>
          <w:sz w:val="32"/>
          <w:szCs w:val="32"/>
        </w:rPr>
        <w:t xml:space="preserve"> （四）意向供应商保证金不予退还的情形: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当出现下列情形时，采购方可以以意向供应商交纳的保证金为限，在扣除本所的经纪代理服务费用后，向意向供应商主张相应的赔偿责任：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（1）意向供应商故意提供虚假、失实材料造成采购方和本所损失的；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（2）意向供应商通过获取采购方的商业秘密，侵害采购方合法权益的；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（3）意向供应商之间相互串通，影响公平竞争，侵害采购方合法权益的；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（4）意向供应商对采购方、交易机构及任何相关人员采取施加影响、行贿等不正当竞争行为，影响竞价程序公正性的；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（5）意向供应商违反在申请采购、公开竞价过程中做出的承诺的；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（6）意向供应商提交《采购申请书》后，经确认采购资格后，单方撤回采购申请的；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（7）意向供应商拒绝参加后续竞买程序的；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（8）意向供应商确定为最终供应商后，拒绝签署网络报价成交价格确认单的；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（9）意向供应商无故不推进交易或无故放弃采购的； </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（10）意向供应商在确定为供应商后3个工作日内非因采购方原因未与采购方签订合同的；</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（11）意向供应商违反法律法规及西南联合产权交易所企业国有产权交易规则，影响竞价公正性的行为；</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（12）产权交易涉及主体资格审查、反垄断审查等情形时，因意向供应商自身原因而无法获得政府相关部门批准的；</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（13）所有意向供应商未在规定时间内报价的。</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保证金金额不足以弥补采购方、本所损失的，利益受损方可以向有过错方进行追偿。</w:t>
      </w:r>
      <w:r>
        <w:rPr>
          <w:rFonts w:hint="eastAsia" w:ascii="方正仿宋简体" w:hAnsi="方正仿宋简体" w:eastAsia="方正仿宋简体" w:cs="方正仿宋简体"/>
          <w:color w:val="000000"/>
          <w:sz w:val="32"/>
          <w:szCs w:val="32"/>
        </w:rPr>
        <w:br w:type="textWrapping"/>
      </w:r>
      <w:r>
        <w:rPr>
          <w:rFonts w:hint="eastAsia" w:ascii="方正仿宋简体" w:hAnsi="方正仿宋简体" w:eastAsia="方正仿宋简体" w:cs="方正仿宋简体"/>
          <w:color w:val="000000"/>
          <w:sz w:val="32"/>
          <w:szCs w:val="32"/>
        </w:rPr>
        <w:t xml:space="preserve">    当出现上述十三条所列情形时，本所有权直接在意向供应商交纳的保证金中扣除本所的经纪代理服务费用后，保证金余额直接向采购方指定资金账户划转，并由采购方负责余额处置。    </w:t>
      </w:r>
    </w:p>
    <w:p>
      <w:pPr>
        <w:pStyle w:val="4"/>
        <w:spacing w:line="580" w:lineRule="exact"/>
        <w:rPr>
          <w:rFonts w:ascii="楷体" w:hAnsi="楷体" w:eastAsia="楷体" w:cs="楷体"/>
          <w:b/>
          <w:bCs/>
          <w:color w:val="000000"/>
          <w:sz w:val="32"/>
          <w:szCs w:val="32"/>
        </w:rPr>
      </w:pPr>
      <w:r>
        <w:rPr>
          <w:rFonts w:hint="eastAsia" w:ascii="仿宋_GB2312" w:hAnsi="Ђˎ̥" w:eastAsia="仿宋_GB2312" w:cs="宋体"/>
          <w:b/>
          <w:color w:val="000000"/>
          <w:kern w:val="0"/>
          <w:sz w:val="32"/>
          <w:szCs w:val="32"/>
        </w:rPr>
        <w:t xml:space="preserve">    </w:t>
      </w:r>
      <w:r>
        <w:rPr>
          <w:rFonts w:hint="eastAsia" w:ascii="楷体" w:hAnsi="楷体" w:eastAsia="楷体" w:cs="楷体"/>
          <w:b/>
          <w:bCs/>
          <w:color w:val="000000"/>
          <w:sz w:val="32"/>
          <w:szCs w:val="32"/>
        </w:rPr>
        <w:t>八、其他</w:t>
      </w:r>
    </w:p>
    <w:p>
      <w:pPr>
        <w:pStyle w:val="2"/>
        <w:spacing w:line="580" w:lineRule="exact"/>
        <w:rPr>
          <w:rFonts w:ascii="方正仿宋简体" w:hAnsi="方正仿宋简体" w:eastAsia="方正仿宋简体" w:cs="方正仿宋简体"/>
          <w:color w:val="000000"/>
          <w:sz w:val="32"/>
          <w:szCs w:val="32"/>
        </w:rPr>
      </w:pPr>
      <w:r>
        <w:rPr>
          <w:rFonts w:hint="eastAsia" w:ascii="仿宋_GB2312" w:hAnsi="Courier New" w:eastAsia="仿宋_GB2312"/>
          <w:color w:val="FF0000"/>
          <w:sz w:val="32"/>
          <w:szCs w:val="20"/>
        </w:rPr>
        <w:t xml:space="preserve">   </w:t>
      </w:r>
      <w:r>
        <w:rPr>
          <w:rFonts w:hint="eastAsia" w:ascii="方正仿宋简体" w:hAnsi="方正仿宋简体" w:eastAsia="方正仿宋简体" w:cs="方正仿宋简体"/>
          <w:color w:val="000000"/>
          <w:sz w:val="32"/>
          <w:szCs w:val="32"/>
        </w:rPr>
        <w:t xml:space="preserve"> 供应商确定后，供应商需要向西南联合产权交易所广安分所支付经纪代理服务费</w:t>
      </w:r>
      <w:r>
        <w:rPr>
          <w:rFonts w:hint="eastAsia" w:ascii="方正仿宋简体" w:hAnsi="方正仿宋简体" w:eastAsia="方正仿宋简体" w:cs="方正仿宋简体"/>
          <w:color w:val="000000"/>
          <w:sz w:val="32"/>
          <w:szCs w:val="32"/>
          <w:u w:val="none"/>
        </w:rPr>
        <w:t>0.</w:t>
      </w:r>
      <w:r>
        <w:rPr>
          <w:rFonts w:hint="eastAsia" w:ascii="方正仿宋简体" w:hAnsi="方正仿宋简体" w:eastAsia="方正仿宋简体" w:cs="方正仿宋简体"/>
          <w:color w:val="000000"/>
          <w:sz w:val="32"/>
          <w:szCs w:val="32"/>
          <w:u w:val="none"/>
          <w:lang w:val="en-US" w:eastAsia="zh-CN"/>
        </w:rPr>
        <w:t>18</w:t>
      </w:r>
      <w:r>
        <w:rPr>
          <w:rFonts w:hint="eastAsia" w:ascii="方正仿宋简体" w:hAnsi="方正仿宋简体" w:eastAsia="方正仿宋简体" w:cs="方正仿宋简体"/>
          <w:color w:val="000000"/>
          <w:sz w:val="32"/>
          <w:szCs w:val="32"/>
        </w:rPr>
        <w:t>万元。</w:t>
      </w:r>
    </w:p>
    <w:p>
      <w:pPr>
        <w:pStyle w:val="4"/>
        <w:spacing w:line="580" w:lineRule="exact"/>
        <w:ind w:firstLine="643" w:firstLineChars="200"/>
        <w:rPr>
          <w:rFonts w:ascii="仿宋_GB2312" w:hAnsi="Ђˎ̥" w:eastAsia="仿宋_GB2312" w:cs="宋体"/>
          <w:b/>
          <w:color w:val="000000"/>
          <w:kern w:val="0"/>
          <w:sz w:val="32"/>
          <w:szCs w:val="32"/>
        </w:rPr>
      </w:pPr>
      <w:r>
        <w:rPr>
          <w:rFonts w:hint="eastAsia" w:ascii="楷体" w:hAnsi="楷体" w:eastAsia="楷体" w:cs="楷体"/>
          <w:b/>
          <w:bCs/>
          <w:color w:val="000000"/>
          <w:sz w:val="32"/>
          <w:szCs w:val="32"/>
        </w:rPr>
        <w:t>九、报名地点及联系人</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1.广安市广安区金安大道二段66号西南联合产权交易所广安分所</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 xml:space="preserve">    联系人：刘老师       联系电话：0826-25560003</w:t>
      </w:r>
    </w:p>
    <w:p>
      <w:pPr>
        <w:spacing w:line="58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2.四川省成都市高新区天泰路120号交易所大厦</w:t>
      </w:r>
    </w:p>
    <w:p>
      <w:pPr>
        <w:spacing w:line="580" w:lineRule="exact"/>
        <w:ind w:firstLine="1280" w:firstLineChars="4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联系人：</w:t>
      </w:r>
      <w:r>
        <w:rPr>
          <w:rFonts w:hint="eastAsia" w:ascii="方正仿宋简体" w:hAnsi="方正仿宋简体" w:eastAsia="方正仿宋简体" w:cs="方正仿宋简体"/>
          <w:color w:val="000000"/>
          <w:sz w:val="32"/>
          <w:szCs w:val="32"/>
          <w:lang w:val="en-US" w:eastAsia="zh-CN"/>
        </w:rPr>
        <w:t>徐</w:t>
      </w:r>
      <w:r>
        <w:rPr>
          <w:rFonts w:hint="eastAsia" w:ascii="方正仿宋简体" w:hAnsi="方正仿宋简体" w:eastAsia="方正仿宋简体" w:cs="方正仿宋简体"/>
          <w:color w:val="000000"/>
          <w:sz w:val="32"/>
          <w:szCs w:val="32"/>
        </w:rPr>
        <w:t>老师       联系电话：028-86123311</w:t>
      </w:r>
    </w:p>
    <w:p>
      <w:pPr>
        <w:spacing w:line="580" w:lineRule="exact"/>
        <w:ind w:firstLine="640" w:firstLineChars="200"/>
        <w:rPr>
          <w:rFonts w:ascii="方正仿宋简体" w:hAnsi="方正仿宋简体" w:eastAsia="方正仿宋简体" w:cs="方正仿宋简体"/>
          <w:color w:val="000000"/>
          <w:sz w:val="32"/>
          <w:szCs w:val="32"/>
        </w:rPr>
      </w:pPr>
    </w:p>
    <w:p>
      <w:pPr>
        <w:pStyle w:val="2"/>
        <w:ind w:right="-313" w:rightChars="-149"/>
      </w:pPr>
    </w:p>
    <w:p>
      <w:pPr>
        <w:spacing w:line="480" w:lineRule="exact"/>
        <w:rPr>
          <w:rFonts w:hAnsi="宋体"/>
          <w:b/>
          <w:sz w:val="36"/>
          <w:szCs w:val="36"/>
        </w:rPr>
      </w:pPr>
    </w:p>
    <w:p>
      <w:pPr>
        <w:spacing w:line="480" w:lineRule="exact"/>
        <w:rPr>
          <w:rFonts w:hint="eastAsia" w:hAnsi="宋体"/>
          <w:b/>
          <w:sz w:val="36"/>
          <w:szCs w:val="36"/>
        </w:rPr>
      </w:pPr>
      <w:r>
        <w:rPr>
          <w:rFonts w:hint="eastAsia" w:hAnsi="宋体"/>
          <w:b/>
          <w:sz w:val="36"/>
          <w:szCs w:val="36"/>
        </w:rPr>
        <w:t>汽车参数表：</w:t>
      </w:r>
    </w:p>
    <w:p>
      <w:pPr>
        <w:spacing w:line="480" w:lineRule="exact"/>
        <w:ind w:right="-313" w:rightChars="-149"/>
        <w:rPr>
          <w:rFonts w:hint="eastAsia" w:ascii="方正仿宋简体" w:hAnsi="方正仿宋简体" w:eastAsia="方正仿宋简体" w:cs="方正仿宋简体"/>
          <w:color w:val="000000"/>
          <w:sz w:val="32"/>
          <w:szCs w:val="32"/>
          <w:lang w:eastAsia="zh-CN"/>
        </w:rPr>
      </w:pPr>
    </w:p>
    <w:p>
      <w:pPr>
        <w:spacing w:line="480" w:lineRule="exact"/>
        <w:ind w:right="-313" w:rightChars="-149"/>
        <w:rPr>
          <w:rFonts w:cs="楷体" w:asciiTheme="minorEastAsia" w:hAnsiTheme="minorEastAsia" w:eastAsiaTheme="minorEastAsia"/>
          <w:bCs/>
          <w:color w:val="000000"/>
          <w:sz w:val="21"/>
          <w:szCs w:val="21"/>
        </w:rPr>
      </w:pPr>
      <w:r>
        <w:rPr>
          <w:rFonts w:hint="eastAsia" w:ascii="方正仿宋简体" w:hAnsi="方正仿宋简体" w:eastAsia="方正仿宋简体" w:cs="方正仿宋简体"/>
          <w:color w:val="000000"/>
          <w:sz w:val="32"/>
          <w:szCs w:val="32"/>
          <w:lang w:eastAsia="zh-CN"/>
        </w:rPr>
        <w:t>长城汽车-哈弗H6 2018款</w:t>
      </w:r>
      <w:r>
        <w:rPr>
          <w:rFonts w:hint="eastAsia" w:ascii="方正仿宋简体" w:hAnsi="方正仿宋简体" w:eastAsia="方正仿宋简体" w:cs="方正仿宋简体"/>
          <w:color w:val="000000"/>
          <w:sz w:val="32"/>
          <w:szCs w:val="32"/>
          <w:lang w:val="en-US" w:eastAsia="zh-CN"/>
        </w:rPr>
        <w:t xml:space="preserve"> 红标 运动版1.5T自动两驱尊贵型</w:t>
      </w:r>
    </w:p>
    <w:tbl>
      <w:tblPr>
        <w:tblStyle w:val="6"/>
        <w:tblW w:w="91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2"/>
        <w:gridCol w:w="2910"/>
        <w:gridCol w:w="3884"/>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宋体" w:hAnsi="宋体" w:cs="宋体"/>
                <w:b/>
                <w:bCs/>
                <w:sz w:val="24"/>
              </w:rPr>
            </w:pPr>
            <w:r>
              <w:rPr>
                <w:rFonts w:hint="eastAsia" w:ascii="宋体" w:hAnsi="宋体" w:cs="宋体"/>
                <w:b/>
                <w:bCs/>
                <w:sz w:val="24"/>
              </w:rPr>
              <w:t>序 号</w:t>
            </w:r>
          </w:p>
        </w:tc>
        <w:tc>
          <w:tcPr>
            <w:tcW w:w="2910" w:type="dxa"/>
            <w:vAlign w:val="center"/>
          </w:tcPr>
          <w:p>
            <w:pPr>
              <w:ind w:firstLine="420"/>
              <w:jc w:val="center"/>
              <w:rPr>
                <w:rFonts w:ascii="宋体" w:hAnsi="宋体" w:cs="宋体"/>
                <w:b/>
                <w:bCs/>
                <w:sz w:val="24"/>
              </w:rPr>
            </w:pPr>
            <w:r>
              <w:rPr>
                <w:rFonts w:hint="eastAsia" w:ascii="宋体" w:hAnsi="宋体" w:cs="宋体"/>
                <w:b/>
                <w:bCs/>
                <w:sz w:val="24"/>
              </w:rPr>
              <w:t>名  称</w:t>
            </w:r>
          </w:p>
        </w:tc>
        <w:tc>
          <w:tcPr>
            <w:tcW w:w="3884" w:type="dxa"/>
            <w:vAlign w:val="center"/>
          </w:tcPr>
          <w:p>
            <w:pPr>
              <w:ind w:firstLine="420"/>
              <w:jc w:val="center"/>
              <w:rPr>
                <w:rFonts w:ascii="宋体" w:hAnsi="宋体" w:cs="宋体"/>
                <w:b/>
                <w:bCs/>
                <w:sz w:val="24"/>
              </w:rPr>
            </w:pPr>
            <w:r>
              <w:rPr>
                <w:rFonts w:hint="eastAsia" w:ascii="宋体" w:hAnsi="宋体" w:cs="宋体"/>
                <w:b/>
                <w:bCs/>
                <w:sz w:val="24"/>
              </w:rPr>
              <w:t>参  数</w:t>
            </w:r>
          </w:p>
        </w:tc>
        <w:tc>
          <w:tcPr>
            <w:tcW w:w="1214" w:type="dxa"/>
            <w:vAlign w:val="center"/>
          </w:tcPr>
          <w:p>
            <w:pPr>
              <w:jc w:val="center"/>
              <w:rPr>
                <w:rFonts w:ascii="宋体" w:hAnsi="宋体" w:cs="宋体"/>
                <w:b/>
                <w:bCs/>
                <w:sz w:val="24"/>
              </w:rPr>
            </w:pPr>
            <w:r>
              <w:rPr>
                <w:rFonts w:hint="eastAsia" w:ascii="宋体" w:hAnsi="宋体" w:cs="宋体"/>
                <w:b/>
                <w:bCs/>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宋体" w:hAnsi="宋体" w:cs="宋体"/>
                <w:b/>
                <w:bCs/>
                <w:sz w:val="24"/>
              </w:rPr>
            </w:pPr>
            <w:r>
              <w:rPr>
                <w:rFonts w:hint="eastAsia" w:ascii="宋体" w:hAnsi="宋体" w:cs="宋体"/>
                <w:sz w:val="24"/>
              </w:rPr>
              <w:t>1</w:t>
            </w:r>
          </w:p>
        </w:tc>
        <w:tc>
          <w:tcPr>
            <w:tcW w:w="2910" w:type="dxa"/>
            <w:vAlign w:val="center"/>
          </w:tcPr>
          <w:p>
            <w:pPr>
              <w:ind w:firstLine="420"/>
              <w:jc w:val="center"/>
              <w:rPr>
                <w:rFonts w:ascii="宋体" w:hAnsi="宋体" w:cs="宋体"/>
                <w:sz w:val="24"/>
              </w:rPr>
            </w:pPr>
            <w:r>
              <w:rPr>
                <w:rFonts w:hint="eastAsia" w:ascii="宋体" w:hAnsi="宋体" w:cs="宋体"/>
                <w:sz w:val="24"/>
              </w:rPr>
              <w:t>数量</w:t>
            </w:r>
          </w:p>
        </w:tc>
        <w:tc>
          <w:tcPr>
            <w:tcW w:w="3884" w:type="dxa"/>
            <w:vAlign w:val="center"/>
          </w:tcPr>
          <w:p>
            <w:pPr>
              <w:ind w:firstLine="420"/>
              <w:jc w:val="center"/>
              <w:rPr>
                <w:rFonts w:ascii="宋体" w:hAnsi="宋体" w:cs="宋体"/>
                <w:sz w:val="24"/>
              </w:rPr>
            </w:pPr>
            <w:r>
              <w:rPr>
                <w:rFonts w:hint="eastAsia" w:ascii="宋体" w:hAnsi="宋体" w:cs="宋体"/>
                <w:sz w:val="24"/>
              </w:rPr>
              <w:t>1台</w:t>
            </w:r>
          </w:p>
        </w:tc>
        <w:tc>
          <w:tcPr>
            <w:tcW w:w="1214" w:type="dxa"/>
            <w:vAlign w:val="center"/>
          </w:tcPr>
          <w:p>
            <w:pPr>
              <w:jc w:val="center"/>
              <w:rPr>
                <w:rFonts w:ascii="宋体" w:hAnsi="宋体" w:cs="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★2</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发动机排量</w:t>
            </w:r>
          </w:p>
        </w:tc>
        <w:tc>
          <w:tcPr>
            <w:tcW w:w="3884" w:type="dxa"/>
            <w:vAlign w:val="center"/>
          </w:tcPr>
          <w:p>
            <w:pPr>
              <w:ind w:firstLine="420"/>
              <w:jc w:val="center"/>
              <w:rPr>
                <w:rFonts w:ascii="宋体" w:hAnsi="宋体" w:cs="宋体"/>
                <w:color w:val="000000"/>
                <w:sz w:val="24"/>
              </w:rPr>
            </w:pPr>
            <w:r>
              <w:rPr>
                <w:rFonts w:hint="eastAsia" w:ascii="宋体" w:hAnsi="宋体" w:cs="宋体"/>
                <w:color w:val="000000"/>
                <w:sz w:val="24"/>
              </w:rPr>
              <w:t>149</w:t>
            </w:r>
            <w:r>
              <w:rPr>
                <w:rFonts w:hint="eastAsia" w:ascii="宋体" w:hAnsi="宋体" w:cs="宋体"/>
                <w:color w:val="000000"/>
                <w:sz w:val="24"/>
                <w:lang w:val="en-US" w:eastAsia="zh-CN"/>
              </w:rPr>
              <w:t>7</w:t>
            </w:r>
            <w:r>
              <w:rPr>
                <w:rFonts w:hint="eastAsia" w:ascii="宋体" w:hAnsi="宋体" w:cs="宋体"/>
                <w:color w:val="000000"/>
                <w:sz w:val="24"/>
              </w:rPr>
              <w:t>ML</w:t>
            </w:r>
          </w:p>
        </w:tc>
        <w:tc>
          <w:tcPr>
            <w:tcW w:w="1214"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★3</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变速箱</w:t>
            </w:r>
          </w:p>
        </w:tc>
        <w:tc>
          <w:tcPr>
            <w:tcW w:w="3884" w:type="dxa"/>
            <w:vAlign w:val="center"/>
          </w:tcPr>
          <w:p>
            <w:pPr>
              <w:ind w:firstLine="420"/>
              <w:jc w:val="center"/>
              <w:rPr>
                <w:rFonts w:ascii="宋体" w:hAnsi="宋体" w:cs="宋体"/>
                <w:color w:val="000000"/>
                <w:sz w:val="24"/>
              </w:rPr>
            </w:pPr>
            <w:r>
              <w:rPr>
                <w:rFonts w:hint="eastAsia" w:ascii="宋体" w:hAnsi="宋体" w:cs="宋体"/>
                <w:color w:val="000000"/>
                <w:sz w:val="24"/>
              </w:rPr>
              <w:t>7档双离合</w:t>
            </w:r>
          </w:p>
        </w:tc>
        <w:tc>
          <w:tcPr>
            <w:tcW w:w="1214"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7"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4</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长宽高（mm）</w:t>
            </w:r>
          </w:p>
        </w:tc>
        <w:tc>
          <w:tcPr>
            <w:tcW w:w="3884" w:type="dxa"/>
            <w:vAlign w:val="center"/>
          </w:tcPr>
          <w:p>
            <w:pPr>
              <w:ind w:firstLine="420"/>
              <w:jc w:val="center"/>
              <w:rPr>
                <w:rFonts w:hint="eastAsia" w:ascii="宋体" w:hAnsi="宋体" w:cs="宋体"/>
                <w:color w:val="000000"/>
                <w:sz w:val="24"/>
                <w:lang w:val="en-US" w:eastAsia="zh-CN"/>
              </w:rPr>
            </w:pPr>
            <w:r>
              <w:rPr>
                <w:rFonts w:hint="eastAsia" w:ascii="宋体" w:hAnsi="宋体" w:cs="宋体"/>
                <w:color w:val="000000"/>
                <w:sz w:val="24"/>
              </w:rPr>
              <w:t>长：46</w:t>
            </w:r>
            <w:r>
              <w:rPr>
                <w:rFonts w:hint="eastAsia" w:ascii="宋体" w:hAnsi="宋体" w:cs="宋体"/>
                <w:color w:val="000000"/>
                <w:sz w:val="24"/>
                <w:lang w:val="en-US" w:eastAsia="zh-CN"/>
              </w:rPr>
              <w:t>49</w:t>
            </w:r>
          </w:p>
          <w:p>
            <w:pPr>
              <w:ind w:firstLine="420"/>
              <w:jc w:val="center"/>
              <w:rPr>
                <w:rFonts w:hint="eastAsia" w:ascii="宋体" w:hAnsi="宋体" w:eastAsia="宋体" w:cs="宋体"/>
                <w:color w:val="000000"/>
                <w:sz w:val="24"/>
                <w:lang w:val="en-US" w:eastAsia="zh-CN"/>
              </w:rPr>
            </w:pPr>
            <w:r>
              <w:rPr>
                <w:rFonts w:hint="eastAsia" w:ascii="宋体" w:hAnsi="宋体" w:cs="宋体"/>
                <w:color w:val="000000"/>
                <w:sz w:val="24"/>
              </w:rPr>
              <w:t>宽：18</w:t>
            </w:r>
            <w:r>
              <w:rPr>
                <w:rFonts w:hint="eastAsia" w:ascii="宋体" w:hAnsi="宋体" w:cs="宋体"/>
                <w:color w:val="000000"/>
                <w:sz w:val="24"/>
                <w:lang w:val="en-US" w:eastAsia="zh-CN"/>
              </w:rPr>
              <w:t>52</w:t>
            </w:r>
          </w:p>
          <w:p>
            <w:pPr>
              <w:ind w:firstLine="420"/>
              <w:jc w:val="center"/>
              <w:rPr>
                <w:rFonts w:ascii="宋体" w:hAnsi="宋体" w:cs="宋体"/>
                <w:color w:val="000000"/>
                <w:sz w:val="24"/>
              </w:rPr>
            </w:pPr>
            <w:r>
              <w:rPr>
                <w:rFonts w:hint="eastAsia" w:ascii="宋体" w:hAnsi="宋体" w:cs="宋体"/>
                <w:color w:val="000000"/>
                <w:sz w:val="24"/>
              </w:rPr>
              <w:t>高：17</w:t>
            </w:r>
            <w:r>
              <w:rPr>
                <w:rFonts w:hint="eastAsia" w:ascii="宋体" w:hAnsi="宋体" w:cs="宋体"/>
                <w:color w:val="000000"/>
                <w:sz w:val="24"/>
                <w:lang w:val="en-US" w:eastAsia="zh-CN"/>
              </w:rPr>
              <w:t>1</w:t>
            </w:r>
            <w:r>
              <w:rPr>
                <w:rFonts w:hint="eastAsia" w:ascii="宋体" w:hAnsi="宋体" w:cs="宋体"/>
                <w:color w:val="000000"/>
                <w:sz w:val="24"/>
              </w:rPr>
              <w:t>0</w:t>
            </w:r>
          </w:p>
        </w:tc>
        <w:tc>
          <w:tcPr>
            <w:tcW w:w="1214"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5</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车身结构</w:t>
            </w:r>
          </w:p>
        </w:tc>
        <w:tc>
          <w:tcPr>
            <w:tcW w:w="3884" w:type="dxa"/>
            <w:vAlign w:val="center"/>
          </w:tcPr>
          <w:p>
            <w:pPr>
              <w:ind w:firstLine="420"/>
              <w:jc w:val="center"/>
              <w:rPr>
                <w:rFonts w:ascii="宋体" w:hAnsi="宋体" w:cs="宋体"/>
                <w:color w:val="000000"/>
                <w:sz w:val="24"/>
              </w:rPr>
            </w:pPr>
            <w:r>
              <w:rPr>
                <w:rFonts w:hint="eastAsia" w:ascii="宋体" w:hAnsi="宋体" w:cs="宋体"/>
                <w:color w:val="000000"/>
                <w:sz w:val="24"/>
              </w:rPr>
              <w:t>5门5座SUV</w:t>
            </w:r>
          </w:p>
        </w:tc>
        <w:tc>
          <w:tcPr>
            <w:tcW w:w="1214"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6</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轴距（mm）</w:t>
            </w:r>
          </w:p>
        </w:tc>
        <w:tc>
          <w:tcPr>
            <w:tcW w:w="3884" w:type="dxa"/>
            <w:vAlign w:val="center"/>
          </w:tcPr>
          <w:p>
            <w:pPr>
              <w:ind w:firstLine="420"/>
              <w:jc w:val="center"/>
              <w:rPr>
                <w:rFonts w:ascii="宋体" w:hAnsi="宋体" w:cs="宋体"/>
                <w:color w:val="000000"/>
                <w:sz w:val="24"/>
              </w:rPr>
            </w:pPr>
            <w:r>
              <w:rPr>
                <w:rFonts w:hint="eastAsia" w:ascii="宋体" w:hAnsi="宋体" w:cs="宋体"/>
                <w:color w:val="000000"/>
                <w:sz w:val="24"/>
              </w:rPr>
              <w:t>2680</w:t>
            </w:r>
          </w:p>
        </w:tc>
        <w:tc>
          <w:tcPr>
            <w:tcW w:w="1214"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★7</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kern w:val="0"/>
                <w:sz w:val="24"/>
              </w:rPr>
              <w:t>最大扭矩（N.m）</w:t>
            </w:r>
          </w:p>
        </w:tc>
        <w:tc>
          <w:tcPr>
            <w:tcW w:w="3884" w:type="dxa"/>
            <w:vAlign w:val="center"/>
          </w:tcPr>
          <w:p>
            <w:pPr>
              <w:ind w:firstLine="420"/>
              <w:jc w:val="center"/>
              <w:rPr>
                <w:rFonts w:hint="eastAsia" w:ascii="宋体" w:hAnsi="宋体" w:eastAsia="宋体" w:cs="宋体"/>
                <w:color w:val="000000"/>
                <w:sz w:val="24"/>
                <w:lang w:val="en-US" w:eastAsia="zh-CN"/>
              </w:rPr>
            </w:pPr>
            <w:r>
              <w:rPr>
                <w:rFonts w:hint="eastAsia" w:ascii="宋体" w:hAnsi="宋体" w:cs="宋体"/>
                <w:color w:val="000000"/>
                <w:sz w:val="24"/>
              </w:rPr>
              <w:t>2</w:t>
            </w:r>
            <w:r>
              <w:rPr>
                <w:rFonts w:hint="eastAsia" w:ascii="宋体" w:hAnsi="宋体" w:cs="宋体"/>
                <w:color w:val="000000"/>
                <w:sz w:val="24"/>
                <w:lang w:val="en-US" w:eastAsia="zh-CN"/>
              </w:rPr>
              <w:t>10</w:t>
            </w:r>
          </w:p>
        </w:tc>
        <w:tc>
          <w:tcPr>
            <w:tcW w:w="1214"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8</w:t>
            </w:r>
          </w:p>
        </w:tc>
        <w:tc>
          <w:tcPr>
            <w:tcW w:w="2910"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最大功率（KW）</w:t>
            </w:r>
          </w:p>
        </w:tc>
        <w:tc>
          <w:tcPr>
            <w:tcW w:w="3884" w:type="dxa"/>
            <w:vAlign w:val="center"/>
          </w:tcPr>
          <w:p>
            <w:pPr>
              <w:ind w:firstLine="420"/>
              <w:jc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110</w:t>
            </w:r>
          </w:p>
        </w:tc>
        <w:tc>
          <w:tcPr>
            <w:tcW w:w="1214"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★9</w:t>
            </w:r>
          </w:p>
        </w:tc>
        <w:tc>
          <w:tcPr>
            <w:tcW w:w="2910"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环保标准</w:t>
            </w:r>
          </w:p>
        </w:tc>
        <w:tc>
          <w:tcPr>
            <w:tcW w:w="3884" w:type="dxa"/>
            <w:vAlign w:val="center"/>
          </w:tcPr>
          <w:p>
            <w:pPr>
              <w:ind w:firstLine="420"/>
              <w:jc w:val="center"/>
              <w:rPr>
                <w:rFonts w:ascii="宋体" w:hAnsi="宋体" w:cs="宋体"/>
                <w:color w:val="000000"/>
                <w:sz w:val="24"/>
              </w:rPr>
            </w:pPr>
            <w:r>
              <w:rPr>
                <w:rFonts w:hint="eastAsia" w:ascii="宋体" w:hAnsi="宋体" w:cs="宋体"/>
                <w:color w:val="000000"/>
                <w:sz w:val="24"/>
              </w:rPr>
              <w:t>国V</w:t>
            </w:r>
          </w:p>
        </w:tc>
        <w:tc>
          <w:tcPr>
            <w:tcW w:w="1214"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10</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驱动方式</w:t>
            </w:r>
          </w:p>
        </w:tc>
        <w:tc>
          <w:tcPr>
            <w:tcW w:w="3884" w:type="dxa"/>
            <w:vAlign w:val="center"/>
          </w:tcPr>
          <w:p>
            <w:pPr>
              <w:ind w:firstLine="420"/>
              <w:jc w:val="center"/>
              <w:rPr>
                <w:rFonts w:ascii="宋体" w:hAnsi="宋体" w:cs="宋体"/>
                <w:color w:val="000000"/>
                <w:sz w:val="24"/>
              </w:rPr>
            </w:pPr>
            <w:r>
              <w:rPr>
                <w:rFonts w:hint="eastAsia" w:ascii="宋体" w:hAnsi="宋体" w:cs="宋体"/>
                <w:color w:val="000000"/>
                <w:sz w:val="24"/>
              </w:rPr>
              <w:t>前置两驱</w:t>
            </w:r>
          </w:p>
        </w:tc>
        <w:tc>
          <w:tcPr>
            <w:tcW w:w="1214"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11</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前悬挂类型</w:t>
            </w:r>
          </w:p>
        </w:tc>
        <w:tc>
          <w:tcPr>
            <w:tcW w:w="3884" w:type="dxa"/>
            <w:vAlign w:val="center"/>
          </w:tcPr>
          <w:p>
            <w:pPr>
              <w:ind w:firstLine="420"/>
              <w:jc w:val="center"/>
              <w:rPr>
                <w:rFonts w:ascii="宋体" w:hAnsi="宋体" w:cs="宋体"/>
                <w:color w:val="000000"/>
                <w:sz w:val="24"/>
              </w:rPr>
            </w:pPr>
            <w:r>
              <w:rPr>
                <w:rFonts w:hint="eastAsia" w:ascii="宋体" w:hAnsi="宋体" w:cs="宋体"/>
                <w:color w:val="000000"/>
                <w:sz w:val="24"/>
              </w:rPr>
              <w:t>麦弗逊式独立悬架</w:t>
            </w:r>
          </w:p>
        </w:tc>
        <w:tc>
          <w:tcPr>
            <w:tcW w:w="1214"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12</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后悬挂类型</w:t>
            </w:r>
          </w:p>
        </w:tc>
        <w:tc>
          <w:tcPr>
            <w:tcW w:w="3884" w:type="dxa"/>
            <w:vAlign w:val="center"/>
          </w:tcPr>
          <w:p>
            <w:pPr>
              <w:ind w:firstLine="420"/>
              <w:jc w:val="center"/>
              <w:rPr>
                <w:rFonts w:ascii="宋体" w:hAnsi="宋体" w:cs="宋体"/>
                <w:color w:val="000000"/>
                <w:sz w:val="24"/>
              </w:rPr>
            </w:pPr>
            <w:r>
              <w:rPr>
                <w:rFonts w:hint="eastAsia" w:ascii="宋体" w:hAnsi="宋体" w:cs="宋体"/>
                <w:color w:val="000000"/>
                <w:sz w:val="24"/>
              </w:rPr>
              <w:t>双横臂式独立悬架</w:t>
            </w:r>
          </w:p>
        </w:tc>
        <w:tc>
          <w:tcPr>
            <w:tcW w:w="1214"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★13</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轮胎规格</w:t>
            </w:r>
          </w:p>
        </w:tc>
        <w:tc>
          <w:tcPr>
            <w:tcW w:w="3884" w:type="dxa"/>
            <w:vAlign w:val="center"/>
          </w:tcPr>
          <w:p>
            <w:pPr>
              <w:ind w:firstLine="420"/>
              <w:jc w:val="center"/>
              <w:rPr>
                <w:rFonts w:hint="eastAsia" w:ascii="宋体" w:hAnsi="宋体" w:eastAsia="宋体" w:cs="宋体"/>
                <w:color w:val="000000"/>
                <w:sz w:val="24"/>
                <w:lang w:eastAsia="zh-CN"/>
              </w:rPr>
            </w:pPr>
            <w:r>
              <w:rPr>
                <w:rFonts w:hint="eastAsia" w:ascii="宋体" w:hAnsi="宋体" w:cs="宋体"/>
                <w:color w:val="000000"/>
                <w:sz w:val="24"/>
              </w:rPr>
              <w:t>2</w:t>
            </w:r>
            <w:r>
              <w:rPr>
                <w:rFonts w:hint="eastAsia" w:ascii="宋体" w:hAnsi="宋体" w:cs="宋体"/>
                <w:color w:val="000000"/>
                <w:sz w:val="24"/>
                <w:lang w:val="en-US" w:eastAsia="zh-CN"/>
              </w:rPr>
              <w:t>25</w:t>
            </w:r>
            <w:r>
              <w:rPr>
                <w:rFonts w:hint="eastAsia" w:ascii="宋体" w:hAnsi="宋体" w:cs="宋体"/>
                <w:color w:val="000000"/>
                <w:sz w:val="24"/>
              </w:rPr>
              <w:t>/</w:t>
            </w:r>
            <w:r>
              <w:rPr>
                <w:rFonts w:hint="eastAsia" w:ascii="宋体" w:hAnsi="宋体" w:cs="宋体"/>
                <w:color w:val="000000"/>
                <w:sz w:val="24"/>
                <w:lang w:val="en-US" w:eastAsia="zh-CN"/>
              </w:rPr>
              <w:t>65</w:t>
            </w:r>
            <w:r>
              <w:rPr>
                <w:rFonts w:hint="eastAsia" w:ascii="宋体" w:hAnsi="宋体" w:cs="宋体"/>
                <w:color w:val="000000"/>
                <w:sz w:val="24"/>
              </w:rPr>
              <w:t>/R1</w:t>
            </w:r>
            <w:r>
              <w:rPr>
                <w:rFonts w:hint="eastAsia" w:ascii="宋体" w:hAnsi="宋体" w:cs="宋体"/>
                <w:color w:val="000000"/>
                <w:sz w:val="24"/>
                <w:lang w:val="en-US" w:eastAsia="zh-CN"/>
              </w:rPr>
              <w:t>7</w:t>
            </w:r>
          </w:p>
        </w:tc>
        <w:tc>
          <w:tcPr>
            <w:tcW w:w="1214"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★14</w:t>
            </w:r>
          </w:p>
        </w:tc>
        <w:tc>
          <w:tcPr>
            <w:tcW w:w="2910" w:type="dxa"/>
            <w:vAlign w:val="center"/>
          </w:tcPr>
          <w:p>
            <w:pPr>
              <w:ind w:firstLine="420"/>
              <w:jc w:val="center"/>
              <w:rPr>
                <w:rFonts w:ascii="宋体" w:hAnsi="宋体" w:cs="宋体"/>
                <w:color w:val="000000"/>
                <w:sz w:val="24"/>
              </w:rPr>
            </w:pPr>
            <w:r>
              <w:rPr>
                <w:rFonts w:hint="eastAsia" w:ascii="宋体" w:hAnsi="宋体" w:cs="宋体"/>
                <w:color w:val="000000"/>
                <w:sz w:val="24"/>
              </w:rPr>
              <w:t>燃油形式</w:t>
            </w:r>
          </w:p>
        </w:tc>
        <w:tc>
          <w:tcPr>
            <w:tcW w:w="3884" w:type="dxa"/>
            <w:vAlign w:val="center"/>
          </w:tcPr>
          <w:p>
            <w:pPr>
              <w:ind w:firstLine="420"/>
              <w:jc w:val="center"/>
              <w:rPr>
                <w:rFonts w:ascii="宋体" w:hAnsi="宋体" w:cs="宋体"/>
                <w:color w:val="000000"/>
                <w:sz w:val="24"/>
              </w:rPr>
            </w:pPr>
            <w:r>
              <w:rPr>
                <w:rFonts w:hint="eastAsia" w:ascii="宋体" w:hAnsi="宋体" w:cs="宋体"/>
                <w:color w:val="000000"/>
                <w:sz w:val="24"/>
              </w:rPr>
              <w:t>汽油</w:t>
            </w:r>
          </w:p>
        </w:tc>
        <w:tc>
          <w:tcPr>
            <w:tcW w:w="1214" w:type="dxa"/>
            <w:vAlign w:val="center"/>
          </w:tcPr>
          <w:p>
            <w:pPr>
              <w:ind w:firstLine="42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15</w:t>
            </w:r>
          </w:p>
        </w:tc>
        <w:tc>
          <w:tcPr>
            <w:tcW w:w="2910" w:type="dxa"/>
            <w:vAlign w:val="center"/>
          </w:tcPr>
          <w:p>
            <w:pPr>
              <w:ind w:firstLine="420"/>
              <w:jc w:val="center"/>
              <w:rPr>
                <w:rFonts w:ascii="仿宋_GB2312" w:eastAsia="仿宋_GB2312"/>
                <w:color w:val="000000"/>
                <w:sz w:val="24"/>
              </w:rPr>
            </w:pPr>
            <w:r>
              <w:rPr>
                <w:rFonts w:hint="eastAsia" w:ascii="宋体" w:hAnsi="宋体" w:cs="宋体"/>
                <w:color w:val="000000"/>
                <w:kern w:val="0"/>
                <w:sz w:val="24"/>
              </w:rPr>
              <w:t>外观</w:t>
            </w:r>
          </w:p>
        </w:tc>
        <w:tc>
          <w:tcPr>
            <w:tcW w:w="3884" w:type="dxa"/>
            <w:vAlign w:val="center"/>
          </w:tcPr>
          <w:p>
            <w:pPr>
              <w:ind w:firstLine="420"/>
              <w:jc w:val="center"/>
              <w:rPr>
                <w:rFonts w:ascii="宋体" w:hAnsi="宋体" w:cs="宋体"/>
                <w:color w:val="000000"/>
                <w:sz w:val="24"/>
              </w:rPr>
            </w:pPr>
            <w:r>
              <w:rPr>
                <w:rFonts w:hint="eastAsia" w:ascii="宋体" w:hAnsi="宋体" w:cs="宋体"/>
                <w:color w:val="000000"/>
                <w:sz w:val="24"/>
              </w:rPr>
              <w:t>LED日间行车灯</w:t>
            </w:r>
          </w:p>
        </w:tc>
        <w:tc>
          <w:tcPr>
            <w:tcW w:w="1214" w:type="dxa"/>
            <w:vAlign w:val="center"/>
          </w:tcPr>
          <w:p>
            <w:pPr>
              <w:ind w:firstLine="42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16</w:t>
            </w:r>
          </w:p>
        </w:tc>
        <w:tc>
          <w:tcPr>
            <w:tcW w:w="2910"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内装</w:t>
            </w:r>
          </w:p>
        </w:tc>
        <w:tc>
          <w:tcPr>
            <w:tcW w:w="3884"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主副驾驶座安全气囊、前排侧气囊、前后排头部气囊、自动空调</w:t>
            </w:r>
          </w:p>
        </w:tc>
        <w:tc>
          <w:tcPr>
            <w:tcW w:w="1214" w:type="dxa"/>
            <w:vAlign w:val="center"/>
          </w:tcPr>
          <w:p>
            <w:pPr>
              <w:ind w:firstLine="42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1092" w:type="dxa"/>
            <w:vAlign w:val="center"/>
          </w:tcPr>
          <w:p>
            <w:pPr>
              <w:jc w:val="center"/>
              <w:rPr>
                <w:rFonts w:ascii="仿宋_GB2312" w:eastAsia="仿宋_GB2312"/>
                <w:sz w:val="24"/>
              </w:rPr>
            </w:pPr>
            <w:r>
              <w:rPr>
                <w:rFonts w:hint="eastAsia" w:ascii="仿宋_GB2312" w:eastAsia="仿宋_GB2312"/>
                <w:sz w:val="24"/>
              </w:rPr>
              <w:t>★17</w:t>
            </w:r>
          </w:p>
        </w:tc>
        <w:tc>
          <w:tcPr>
            <w:tcW w:w="2910"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车辆颜色/内饰颜色</w:t>
            </w:r>
          </w:p>
        </w:tc>
        <w:tc>
          <w:tcPr>
            <w:tcW w:w="3884"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白色外观颜色/黑色内饰</w:t>
            </w:r>
          </w:p>
        </w:tc>
        <w:tc>
          <w:tcPr>
            <w:tcW w:w="1214" w:type="dxa"/>
            <w:vAlign w:val="center"/>
          </w:tcPr>
          <w:p>
            <w:pPr>
              <w:ind w:firstLine="42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宋体" w:hAnsi="宋体" w:cs="宋体"/>
                <w:kern w:val="0"/>
                <w:sz w:val="24"/>
              </w:rPr>
            </w:pPr>
            <w:r>
              <w:rPr>
                <w:rFonts w:hint="eastAsia" w:ascii="宋体" w:hAnsi="宋体" w:cs="宋体"/>
                <w:kern w:val="0"/>
                <w:sz w:val="24"/>
              </w:rPr>
              <w:t>18</w:t>
            </w:r>
          </w:p>
        </w:tc>
        <w:tc>
          <w:tcPr>
            <w:tcW w:w="2910"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装饰</w:t>
            </w:r>
          </w:p>
        </w:tc>
        <w:tc>
          <w:tcPr>
            <w:tcW w:w="3884"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脚垫、灭火器</w:t>
            </w:r>
          </w:p>
        </w:tc>
        <w:tc>
          <w:tcPr>
            <w:tcW w:w="1214" w:type="dxa"/>
            <w:vAlign w:val="center"/>
          </w:tcPr>
          <w:p>
            <w:pPr>
              <w:ind w:firstLine="42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092" w:type="dxa"/>
            <w:vAlign w:val="center"/>
          </w:tcPr>
          <w:p>
            <w:pPr>
              <w:jc w:val="center"/>
              <w:rPr>
                <w:rFonts w:ascii="宋体" w:hAnsi="宋体" w:cs="宋体"/>
                <w:kern w:val="0"/>
                <w:sz w:val="24"/>
              </w:rPr>
            </w:pPr>
            <w:r>
              <w:rPr>
                <w:rFonts w:hint="eastAsia" w:ascii="仿宋_GB2312" w:eastAsia="仿宋_GB2312"/>
                <w:sz w:val="24"/>
              </w:rPr>
              <w:t>★</w:t>
            </w:r>
            <w:r>
              <w:rPr>
                <w:rFonts w:hint="eastAsia" w:ascii="宋体" w:hAnsi="宋体" w:cs="宋体"/>
                <w:kern w:val="0"/>
                <w:sz w:val="24"/>
              </w:rPr>
              <w:t>19</w:t>
            </w:r>
          </w:p>
        </w:tc>
        <w:tc>
          <w:tcPr>
            <w:tcW w:w="2910"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保修政策</w:t>
            </w:r>
          </w:p>
        </w:tc>
        <w:tc>
          <w:tcPr>
            <w:tcW w:w="3884"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3年或10万公里</w:t>
            </w:r>
          </w:p>
        </w:tc>
        <w:tc>
          <w:tcPr>
            <w:tcW w:w="1214" w:type="dxa"/>
            <w:vAlign w:val="center"/>
          </w:tcPr>
          <w:p>
            <w:pPr>
              <w:ind w:firstLine="42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jc w:val="center"/>
        </w:trPr>
        <w:tc>
          <w:tcPr>
            <w:tcW w:w="1092" w:type="dxa"/>
            <w:vAlign w:val="center"/>
          </w:tcPr>
          <w:p>
            <w:pPr>
              <w:jc w:val="center"/>
              <w:rPr>
                <w:rFonts w:ascii="宋体" w:hAnsi="宋体" w:cs="宋体"/>
                <w:kern w:val="0"/>
                <w:sz w:val="24"/>
              </w:rPr>
            </w:pPr>
            <w:r>
              <w:rPr>
                <w:rFonts w:hint="eastAsia" w:ascii="宋体" w:hAnsi="宋体" w:cs="宋体"/>
                <w:kern w:val="0"/>
                <w:sz w:val="24"/>
              </w:rPr>
              <w:t>20</w:t>
            </w:r>
          </w:p>
        </w:tc>
        <w:tc>
          <w:tcPr>
            <w:tcW w:w="2910"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进气形式</w:t>
            </w:r>
          </w:p>
        </w:tc>
        <w:tc>
          <w:tcPr>
            <w:tcW w:w="3884" w:type="dxa"/>
            <w:vAlign w:val="center"/>
          </w:tcPr>
          <w:p>
            <w:pPr>
              <w:ind w:firstLine="420"/>
              <w:jc w:val="center"/>
              <w:rPr>
                <w:rFonts w:ascii="宋体" w:hAnsi="宋体" w:cs="宋体"/>
                <w:color w:val="000000"/>
                <w:kern w:val="0"/>
                <w:sz w:val="24"/>
              </w:rPr>
            </w:pPr>
            <w:r>
              <w:rPr>
                <w:rFonts w:hint="eastAsia" w:ascii="宋体" w:hAnsi="宋体" w:cs="宋体"/>
                <w:color w:val="000000"/>
                <w:kern w:val="0"/>
                <w:sz w:val="24"/>
              </w:rPr>
              <w:t>涡轮增压</w:t>
            </w:r>
          </w:p>
        </w:tc>
        <w:tc>
          <w:tcPr>
            <w:tcW w:w="1214" w:type="dxa"/>
            <w:vAlign w:val="center"/>
          </w:tcPr>
          <w:p>
            <w:pPr>
              <w:ind w:firstLine="42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jc w:val="center"/>
        </w:trPr>
        <w:tc>
          <w:tcPr>
            <w:tcW w:w="1092" w:type="dxa"/>
            <w:vAlign w:val="center"/>
          </w:tcPr>
          <w:p>
            <w:pPr>
              <w:jc w:val="center"/>
              <w:rPr>
                <w:rFonts w:ascii="宋体" w:hAnsi="宋体" w:cs="宋体"/>
                <w:kern w:val="0"/>
                <w:sz w:val="24"/>
              </w:rPr>
            </w:pPr>
            <w:r>
              <w:rPr>
                <w:rFonts w:hint="eastAsia" w:ascii="宋体" w:hAnsi="宋体" w:cs="宋体"/>
                <w:kern w:val="0"/>
                <w:sz w:val="24"/>
              </w:rPr>
              <w:t>21</w:t>
            </w:r>
          </w:p>
        </w:tc>
        <w:tc>
          <w:tcPr>
            <w:tcW w:w="2910" w:type="dxa"/>
            <w:vAlign w:val="center"/>
          </w:tcPr>
          <w:p>
            <w:pPr>
              <w:ind w:firstLine="420"/>
              <w:jc w:val="center"/>
              <w:rPr>
                <w:rFonts w:hint="eastAsia" w:ascii="宋体" w:hAnsi="宋体" w:eastAsia="宋体" w:cs="宋体"/>
                <w:color w:val="000000"/>
                <w:kern w:val="0"/>
                <w:sz w:val="24"/>
                <w:lang w:eastAsia="zh-CN"/>
              </w:rPr>
            </w:pPr>
            <w:r>
              <w:rPr>
                <w:rFonts w:hint="eastAsia" w:ascii="宋体" w:hAnsi="宋体" w:cs="宋体"/>
                <w:color w:val="000000"/>
                <w:kern w:val="0"/>
                <w:sz w:val="24"/>
                <w:lang w:eastAsia="zh-CN"/>
              </w:rPr>
              <w:t>厂商指导价</w:t>
            </w:r>
          </w:p>
        </w:tc>
        <w:tc>
          <w:tcPr>
            <w:tcW w:w="3884" w:type="dxa"/>
            <w:vAlign w:val="center"/>
          </w:tcPr>
          <w:p>
            <w:pPr>
              <w:ind w:firstLine="420"/>
              <w:jc w:val="center"/>
              <w:rPr>
                <w:rFonts w:hint="eastAsia" w:ascii="宋体" w:hAnsi="宋体" w:eastAsia="宋体" w:cs="宋体"/>
                <w:color w:val="000000"/>
                <w:kern w:val="0"/>
                <w:sz w:val="24"/>
                <w:lang w:val="en-US" w:eastAsia="zh-CN"/>
              </w:rPr>
            </w:pPr>
            <w:r>
              <w:rPr>
                <w:rFonts w:hint="eastAsia" w:ascii="宋体" w:hAnsi="宋体" w:cs="宋体"/>
                <w:color w:val="000000"/>
                <w:kern w:val="0"/>
                <w:sz w:val="24"/>
                <w:lang w:val="en-US" w:eastAsia="zh-CN"/>
              </w:rPr>
              <w:t>119000元</w:t>
            </w:r>
          </w:p>
        </w:tc>
        <w:tc>
          <w:tcPr>
            <w:tcW w:w="1214" w:type="dxa"/>
            <w:vAlign w:val="center"/>
          </w:tcPr>
          <w:p>
            <w:pPr>
              <w:ind w:firstLine="420"/>
              <w:jc w:val="center"/>
              <w:rPr>
                <w:rFonts w:ascii="仿宋_GB2312" w:eastAsia="仿宋_GB2312"/>
                <w:sz w:val="24"/>
              </w:rPr>
            </w:pPr>
          </w:p>
        </w:tc>
      </w:tr>
    </w:tbl>
    <w:p>
      <w:pPr>
        <w:widowControl/>
        <w:jc w:val="left"/>
        <w:rPr>
          <w:rFonts w:hAnsi="宋体"/>
          <w:b/>
          <w:color w:val="FF0000"/>
          <w:sz w:val="24"/>
        </w:rPr>
      </w:pPr>
    </w:p>
    <w:p>
      <w:pPr>
        <w:pStyle w:val="2"/>
        <w:spacing w:line="580" w:lineRule="exact"/>
        <w:jc w:val="left"/>
        <w:rPr>
          <w:rFonts w:cs="楷体" w:asciiTheme="minorEastAsia" w:hAnsiTheme="minorEastAsia" w:eastAsiaTheme="minorEastAsia"/>
          <w:bCs/>
          <w:color w:val="000000"/>
          <w:sz w:val="21"/>
          <w:szCs w:val="21"/>
        </w:rPr>
      </w:pPr>
    </w:p>
    <w:p>
      <w:pPr>
        <w:widowControl/>
        <w:jc w:val="left"/>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注：</w:t>
      </w:r>
      <w:r>
        <w:rPr>
          <w:rFonts w:ascii="方正仿宋简体" w:hAnsi="方正仿宋简体" w:eastAsia="方正仿宋简体" w:cs="方正仿宋简体"/>
          <w:color w:val="000000"/>
          <w:sz w:val="32"/>
          <w:szCs w:val="32"/>
        </w:rPr>
        <w:t>供应商必须满足参数表里加</w:t>
      </w:r>
      <w:r>
        <w:rPr>
          <w:rFonts w:hint="eastAsia" w:ascii="方正仿宋简体" w:hAnsi="方正仿宋简体" w:eastAsia="方正仿宋简体" w:cs="方正仿宋简体"/>
          <w:color w:val="000000"/>
          <w:sz w:val="32"/>
          <w:szCs w:val="32"/>
        </w:rPr>
        <w:t>★</w:t>
      </w:r>
      <w:r>
        <w:rPr>
          <w:rFonts w:ascii="方正仿宋简体" w:hAnsi="方正仿宋简体" w:eastAsia="方正仿宋简体" w:cs="方正仿宋简体"/>
          <w:color w:val="000000"/>
          <w:sz w:val="32"/>
          <w:szCs w:val="32"/>
        </w:rPr>
        <w:t>的内容</w:t>
      </w:r>
      <w:r>
        <w:rPr>
          <w:rFonts w:hint="eastAsia" w:ascii="方正仿宋简体" w:hAnsi="方正仿宋简体" w:eastAsia="方正仿宋简体" w:cs="方正仿宋简体"/>
          <w:color w:val="000000"/>
          <w:sz w:val="32"/>
          <w:szCs w:val="32"/>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altName w:val="Arial Unicode MS"/>
    <w:panose1 w:val="02010601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Ђˎ̥">
    <w:altName w:val="Times New Roman"/>
    <w:panose1 w:val="00000000000000000000"/>
    <w:charset w:val="00"/>
    <w:family w:val="roman"/>
    <w:pitch w:val="default"/>
    <w:sig w:usb0="00000000" w:usb1="0000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30C7A2"/>
    <w:multiLevelType w:val="singleLevel"/>
    <w:tmpl w:val="5A30C7A2"/>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F17E84"/>
    <w:rsid w:val="17060709"/>
    <w:rsid w:val="4DF17E84"/>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Body Text"/>
    <w:basedOn w:val="1"/>
    <w:qFormat/>
    <w:uiPriority w:val="0"/>
    <w:rPr>
      <w:sz w:val="24"/>
      <w:szCs w:val="24"/>
    </w:rPr>
  </w:style>
  <w:style w:type="paragraph" w:styleId="4">
    <w:name w:val="Plain Text"/>
    <w:basedOn w:val="1"/>
    <w:qFormat/>
    <w:uiPriority w:val="0"/>
    <w:rPr>
      <w:rFonts w:ascii="宋体" w:hAnsi="Courier New"/>
      <w:szCs w:val="20"/>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22</TotalTime>
  <ScaleCrop>false</ScaleCrop>
  <LinksUpToDate>false</LinksUpToDate>
  <CharactersWithSpaces>0</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2018-11-21T02:59:00Z</dcterms:created>
  <dc:creator>admin</dc:creator>
  <cp:lastModifiedBy>Administrator</cp:lastModifiedBy>
  <dcterms:modified xsi:type="dcterms:W3CDTF">2018-11-23T09:31:34Z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